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13A95B" w14:textId="0F55EB05" w:rsidR="004169A0" w:rsidRPr="00496099" w:rsidRDefault="004169A0" w:rsidP="004169A0">
      <w:pPr>
        <w:pStyle w:val="Footer"/>
        <w:tabs>
          <w:tab w:val="clear" w:pos="4320"/>
          <w:tab w:val="clear" w:pos="8640"/>
        </w:tabs>
        <w:spacing w:line="12" w:lineRule="atLeast"/>
        <w:jc w:val="center"/>
        <w:rPr>
          <w:rFonts w:ascii="Effra Corp" w:hAnsi="Effra Corp" w:cs="Arial"/>
          <w:b/>
          <w:bCs/>
          <w:color w:val="000000" w:themeColor="text1"/>
          <w:spacing w:val="-2"/>
          <w:lang w:val="el-GR"/>
        </w:rPr>
      </w:pPr>
      <w:r w:rsidRPr="00496099">
        <w:rPr>
          <w:rFonts w:ascii="Effra Corp" w:eastAsia="Effra Corp" w:hAnsi="Effra Corp" w:cs="Arial"/>
          <w:b/>
          <w:color w:val="000000" w:themeColor="text1"/>
          <w:spacing w:val="-2"/>
          <w:lang w:val="el-GR" w:bidi="el-GR"/>
        </w:rPr>
        <w:t>ΠΕΡΙΛΗΠΤΙΚΗ ΕΝΗΜΕΡΩΣΗ ΠΡΩΤΟΥ ΤΡΙΜΗΝΟΥ 2022</w:t>
      </w:r>
    </w:p>
    <w:p w14:paraId="4154D95B" w14:textId="77777777" w:rsidR="004169A0" w:rsidRPr="00496099" w:rsidRDefault="004169A0" w:rsidP="004169A0">
      <w:pPr>
        <w:pStyle w:val="Footer"/>
        <w:tabs>
          <w:tab w:val="clear" w:pos="4320"/>
          <w:tab w:val="clear" w:pos="8640"/>
        </w:tabs>
        <w:spacing w:line="12" w:lineRule="atLeast"/>
        <w:jc w:val="center"/>
        <w:rPr>
          <w:rFonts w:ascii="Effra Corp" w:hAnsi="Effra Corp" w:cs="Arial"/>
          <w:b/>
          <w:bCs/>
          <w:color w:val="000000" w:themeColor="text1"/>
          <w:spacing w:val="-2"/>
          <w:lang w:val="el-GR"/>
        </w:rPr>
      </w:pPr>
    </w:p>
    <w:p w14:paraId="6F2354F8" w14:textId="66148692" w:rsidR="004169A0" w:rsidRPr="000978E8" w:rsidRDefault="00A756C5" w:rsidP="004169A0">
      <w:pPr>
        <w:pStyle w:val="Footer"/>
        <w:tabs>
          <w:tab w:val="clear" w:pos="4320"/>
          <w:tab w:val="clear" w:pos="8640"/>
        </w:tabs>
        <w:jc w:val="center"/>
        <w:rPr>
          <w:rFonts w:ascii="Effra Corp" w:hAnsi="Effra Corp"/>
          <w:b/>
          <w:color w:val="FF0000"/>
          <w:spacing w:val="-2"/>
          <w:lang w:val="el-GR"/>
        </w:rPr>
      </w:pPr>
      <w:r w:rsidRPr="000978E8">
        <w:rPr>
          <w:rFonts w:ascii="Effra Corp" w:eastAsia="Effra Corp" w:hAnsi="Effra Corp" w:cs="Effra Corp"/>
          <w:b/>
          <w:color w:val="FF0000"/>
          <w:spacing w:val="-2"/>
          <w:lang w:val="el-GR" w:bidi="el-GR"/>
        </w:rPr>
        <w:t>Ισχυρές επιδόσεις παρά το ταραχώδες περιβάλλον</w:t>
      </w:r>
    </w:p>
    <w:p w14:paraId="397F90ED" w14:textId="77777777" w:rsidR="004169A0" w:rsidRPr="00496099" w:rsidRDefault="004169A0" w:rsidP="001F6DC3">
      <w:pPr>
        <w:pStyle w:val="Footer"/>
        <w:tabs>
          <w:tab w:val="clear" w:pos="4320"/>
          <w:tab w:val="clear" w:pos="8640"/>
        </w:tabs>
        <w:jc w:val="both"/>
        <w:rPr>
          <w:rFonts w:ascii="Effra Corp" w:hAnsi="Effra Corp" w:cs="Calibri"/>
          <w:bCs/>
          <w:spacing w:val="-2"/>
          <w:lang w:val="el-GR"/>
        </w:rPr>
      </w:pPr>
    </w:p>
    <w:p w14:paraId="6DE79E0D" w14:textId="152A7583" w:rsidR="004169A0" w:rsidRPr="00F96F1C" w:rsidRDefault="00496099" w:rsidP="001F6DC3">
      <w:pPr>
        <w:pStyle w:val="Footer"/>
        <w:spacing w:after="120"/>
        <w:jc w:val="both"/>
        <w:rPr>
          <w:rFonts w:ascii="Effra Corp" w:hAnsi="Effra Corp"/>
          <w:lang w:val="el-GR"/>
        </w:rPr>
      </w:pPr>
      <w:r w:rsidRPr="00496099">
        <w:rPr>
          <w:rFonts w:ascii="Effra Corp" w:eastAsia="Effra Corp" w:hAnsi="Effra Corp" w:cs="Effra Corp"/>
          <w:spacing w:val="-2"/>
          <w:sz w:val="20"/>
          <w:szCs w:val="20"/>
          <w:lang w:val="el-GR" w:bidi="el-GR"/>
        </w:rPr>
        <w:t xml:space="preserve">Η Coca-Cola HBC AG, </w:t>
      </w:r>
      <w:r w:rsidRPr="00496099">
        <w:rPr>
          <w:rFonts w:ascii="Effra Corp" w:eastAsia="Effra Corp" w:hAnsi="Effra Corp" w:cs="Effra Corp"/>
          <w:sz w:val="20"/>
          <w:szCs w:val="20"/>
          <w:lang w:val="el-GR" w:bidi="el-GR"/>
        </w:rPr>
        <w:t xml:space="preserve">Όμιλος παραγωγής καταναλωτικών προϊόντων προσανατολισμένος στην ανάπτυξη και στρατηγικός εταίρος εμφιάλωσης της The Coca-Cola </w:t>
      </w:r>
      <w:proofErr w:type="spellStart"/>
      <w:r w:rsidRPr="00496099">
        <w:rPr>
          <w:rFonts w:ascii="Effra Corp" w:eastAsia="Effra Corp" w:hAnsi="Effra Corp" w:cs="Effra Corp"/>
          <w:sz w:val="20"/>
          <w:szCs w:val="20"/>
          <w:lang w:val="el-GR" w:bidi="el-GR"/>
        </w:rPr>
        <w:t>Company</w:t>
      </w:r>
      <w:proofErr w:type="spellEnd"/>
      <w:r w:rsidRPr="00496099">
        <w:rPr>
          <w:rFonts w:ascii="Effra Corp" w:eastAsia="Effra Corp" w:hAnsi="Effra Corp" w:cs="Effra Corp"/>
          <w:sz w:val="20"/>
          <w:szCs w:val="20"/>
          <w:lang w:val="el-GR" w:bidi="el-GR"/>
        </w:rPr>
        <w:t xml:space="preserve">, ανακοινώνει </w:t>
      </w:r>
      <w:r w:rsidRPr="00496099">
        <w:rPr>
          <w:rFonts w:ascii="Effra Corp" w:eastAsia="Effra Corp" w:hAnsi="Effra Corp" w:cs="Effra Corp"/>
          <w:spacing w:val="-2"/>
          <w:sz w:val="20"/>
          <w:szCs w:val="20"/>
          <w:lang w:val="el-GR" w:bidi="el-GR"/>
        </w:rPr>
        <w:t xml:space="preserve">σήμερα </w:t>
      </w:r>
      <w:r w:rsidRPr="00496099">
        <w:rPr>
          <w:rFonts w:ascii="Effra Corp" w:eastAsia="Effra Corp" w:hAnsi="Effra Corp" w:cs="Effra Corp"/>
          <w:sz w:val="20"/>
          <w:szCs w:val="20"/>
          <w:lang w:val="el-GR" w:bidi="el-GR"/>
        </w:rPr>
        <w:t xml:space="preserve">την περιληπτική </w:t>
      </w:r>
      <w:r w:rsidRPr="00F96F1C">
        <w:rPr>
          <w:rFonts w:ascii="Effra Corp" w:eastAsia="Effra Corp" w:hAnsi="Effra Corp" w:cs="Effra Corp"/>
          <w:sz w:val="20"/>
          <w:szCs w:val="20"/>
          <w:lang w:val="el-GR" w:bidi="el-GR"/>
        </w:rPr>
        <w:t>ενημέρωση για την πορεία των εργασιών του</w:t>
      </w:r>
      <w:r w:rsidR="004169A0" w:rsidRPr="00F96F1C">
        <w:rPr>
          <w:rFonts w:ascii="Effra Corp" w:eastAsia="Effra Corp" w:hAnsi="Effra Corp" w:cs="Effra Corp"/>
          <w:sz w:val="20"/>
          <w:szCs w:val="20"/>
          <w:lang w:val="el-GR" w:bidi="el-GR"/>
        </w:rPr>
        <w:t xml:space="preserve"> πρώτου τριμήνου 2022</w:t>
      </w:r>
      <w:r w:rsidR="004169A0" w:rsidRPr="00F96F1C">
        <w:rPr>
          <w:rFonts w:ascii="Effra Corp" w:eastAsia="Effra Corp" w:hAnsi="Effra Corp" w:cs="Effra Corp"/>
          <w:spacing w:val="-2"/>
          <w:sz w:val="20"/>
          <w:szCs w:val="20"/>
          <w:lang w:val="el-GR" w:bidi="el-GR"/>
        </w:rPr>
        <w:t>.</w:t>
      </w:r>
    </w:p>
    <w:p w14:paraId="69A73D46" w14:textId="77777777" w:rsidR="004169A0" w:rsidRPr="000978E8" w:rsidRDefault="004169A0" w:rsidP="001F6DC3">
      <w:pPr>
        <w:pStyle w:val="Footer"/>
        <w:tabs>
          <w:tab w:val="clear" w:pos="4320"/>
          <w:tab w:val="clear" w:pos="8640"/>
        </w:tabs>
        <w:spacing w:after="120"/>
        <w:jc w:val="both"/>
        <w:rPr>
          <w:rFonts w:ascii="Effra Corp" w:hAnsi="Effra Corp" w:cs="Arial"/>
          <w:b/>
          <w:bCs/>
          <w:color w:val="FF0000"/>
          <w:spacing w:val="-2"/>
          <w:sz w:val="20"/>
          <w:szCs w:val="20"/>
          <w:lang w:val="en-GB"/>
        </w:rPr>
      </w:pPr>
      <w:r w:rsidRPr="000978E8">
        <w:rPr>
          <w:rFonts w:ascii="Effra Corp" w:eastAsia="Effra Corp" w:hAnsi="Effra Corp" w:cs="Arial"/>
          <w:b/>
          <w:color w:val="FF0000"/>
          <w:spacing w:val="-2"/>
          <w:sz w:val="20"/>
          <w:szCs w:val="20"/>
          <w:lang w:val="el-GR" w:bidi="el-GR"/>
        </w:rPr>
        <w:t>Βασικά μεγέθη πρώτου τριμήνου</w:t>
      </w:r>
    </w:p>
    <w:p w14:paraId="4FE69DA4" w14:textId="5E5EDA18" w:rsidR="004169A0" w:rsidRPr="00EB5BBA" w:rsidRDefault="00B95151" w:rsidP="001F6DC3">
      <w:pPr>
        <w:pStyle w:val="Footer"/>
        <w:numPr>
          <w:ilvl w:val="0"/>
          <w:numId w:val="19"/>
        </w:numPr>
        <w:tabs>
          <w:tab w:val="clear" w:pos="4320"/>
          <w:tab w:val="clear" w:pos="8640"/>
        </w:tabs>
        <w:jc w:val="both"/>
        <w:rPr>
          <w:rFonts w:ascii="Effra Corp" w:eastAsia="Calibri" w:hAnsi="Effra Corp"/>
          <w:sz w:val="20"/>
          <w:szCs w:val="20"/>
          <w:lang w:val="el-GR"/>
        </w:rPr>
      </w:pPr>
      <w:r>
        <w:rPr>
          <w:rFonts w:ascii="Effra Corp" w:eastAsia="Calibri" w:hAnsi="Effra Corp" w:cs="Effra Corp"/>
          <w:sz w:val="20"/>
          <w:szCs w:val="20"/>
          <w:lang w:val="el-GR" w:bidi="el-GR"/>
        </w:rPr>
        <w:t>Η</w:t>
      </w:r>
      <w:r w:rsidR="000D0A65" w:rsidRPr="00F96F1C">
        <w:rPr>
          <w:rFonts w:ascii="Effra Corp" w:eastAsia="Calibri" w:hAnsi="Effra Corp" w:cs="Effra Corp"/>
          <w:sz w:val="20"/>
          <w:szCs w:val="20"/>
          <w:lang w:val="el-GR" w:bidi="el-GR"/>
        </w:rPr>
        <w:t xml:space="preserve"> εστιασμένη </w:t>
      </w:r>
      <w:r w:rsidR="00FA5781">
        <w:rPr>
          <w:rFonts w:ascii="Effra Corp" w:eastAsia="Calibri" w:hAnsi="Effra Corp" w:cs="Effra Corp"/>
          <w:sz w:val="20"/>
          <w:szCs w:val="20"/>
          <w:lang w:val="el-GR" w:bidi="el-GR"/>
        </w:rPr>
        <w:t>εκτέλεση</w:t>
      </w:r>
      <w:r w:rsidR="00FA5781" w:rsidRPr="00F96F1C">
        <w:rPr>
          <w:rFonts w:ascii="Effra Corp" w:eastAsia="Calibri" w:hAnsi="Effra Corp" w:cs="Effra Corp"/>
          <w:sz w:val="20"/>
          <w:szCs w:val="20"/>
          <w:lang w:val="el-GR" w:bidi="el-GR"/>
        </w:rPr>
        <w:t xml:space="preserve"> </w:t>
      </w:r>
      <w:r w:rsidR="000D0A65" w:rsidRPr="00F96F1C">
        <w:rPr>
          <w:rFonts w:ascii="Effra Corp" w:eastAsia="Calibri" w:hAnsi="Effra Corp" w:cs="Effra Corp"/>
          <w:sz w:val="20"/>
          <w:szCs w:val="20"/>
          <w:lang w:val="el-GR" w:bidi="el-GR"/>
        </w:rPr>
        <w:t xml:space="preserve">της στρατηγικής μας και η συνεχιζόμενη επαναλειτουργία των αγορών οδήγησε σε ανάπτυξη </w:t>
      </w:r>
      <w:r w:rsidR="0044307A">
        <w:rPr>
          <w:rFonts w:ascii="Effra Corp" w:eastAsia="Calibri" w:hAnsi="Effra Corp" w:cs="Effra Corp"/>
          <w:sz w:val="20"/>
          <w:szCs w:val="20"/>
          <w:lang w:val="el-GR" w:bidi="el-GR"/>
        </w:rPr>
        <w:t>ευρείας βάσης</w:t>
      </w:r>
      <w:r w:rsidR="000D0A65" w:rsidRPr="00F96F1C">
        <w:rPr>
          <w:rFonts w:ascii="Effra Corp" w:eastAsia="Calibri" w:hAnsi="Effra Corp" w:cs="Effra Corp"/>
          <w:sz w:val="20"/>
          <w:szCs w:val="20"/>
          <w:lang w:val="el-GR" w:bidi="el-GR"/>
        </w:rPr>
        <w:t xml:space="preserve">, με τα έσοδα του πρώτου τριμήνου να καταγράφουν </w:t>
      </w:r>
      <w:r w:rsidR="00FA5781">
        <w:rPr>
          <w:rFonts w:ascii="Effra Corp" w:eastAsia="Calibri" w:hAnsi="Effra Corp" w:cs="Effra Corp"/>
          <w:sz w:val="20"/>
          <w:szCs w:val="20"/>
          <w:lang w:val="el-GR" w:bidi="el-GR"/>
        </w:rPr>
        <w:t>οργανική</w:t>
      </w:r>
      <w:r w:rsidR="00FA5781" w:rsidRPr="00D04C6E">
        <w:rPr>
          <w:rFonts w:ascii="Effra Corp" w:eastAsia="Calibri" w:hAnsi="Effra Corp" w:cs="Effra Corp"/>
          <w:sz w:val="20"/>
          <w:szCs w:val="20"/>
          <w:vertAlign w:val="superscript"/>
          <w:lang w:val="el-GR" w:bidi="el-GR"/>
        </w:rPr>
        <w:t>1</w:t>
      </w:r>
      <w:r w:rsidR="00FA5781">
        <w:rPr>
          <w:rFonts w:ascii="Effra Corp" w:eastAsia="Calibri" w:hAnsi="Effra Corp" w:cs="Effra Corp"/>
          <w:sz w:val="20"/>
          <w:szCs w:val="20"/>
          <w:lang w:val="el-GR" w:bidi="el-GR"/>
        </w:rPr>
        <w:t xml:space="preserve"> αύξηση </w:t>
      </w:r>
      <w:r w:rsidR="000D0A65" w:rsidRPr="00F96F1C">
        <w:rPr>
          <w:rFonts w:ascii="Effra Corp" w:eastAsia="Calibri" w:hAnsi="Effra Corp" w:cs="Effra Corp"/>
          <w:sz w:val="20"/>
          <w:szCs w:val="20"/>
          <w:lang w:val="el-GR" w:bidi="el-GR"/>
        </w:rPr>
        <w:t xml:space="preserve"> 24,2%. </w:t>
      </w:r>
    </w:p>
    <w:p w14:paraId="2E26A507" w14:textId="77777777" w:rsidR="00EB5BBA" w:rsidRPr="00F96F1C" w:rsidRDefault="00EB5BBA" w:rsidP="00EB5BBA">
      <w:pPr>
        <w:pStyle w:val="Footer"/>
        <w:tabs>
          <w:tab w:val="clear" w:pos="4320"/>
          <w:tab w:val="clear" w:pos="8640"/>
        </w:tabs>
        <w:ind w:left="360"/>
        <w:jc w:val="both"/>
        <w:rPr>
          <w:rFonts w:ascii="Effra Corp" w:eastAsia="Calibri" w:hAnsi="Effra Corp"/>
          <w:sz w:val="20"/>
          <w:szCs w:val="20"/>
          <w:lang w:val="el-GR"/>
        </w:rPr>
      </w:pPr>
    </w:p>
    <w:p w14:paraId="31E870F5" w14:textId="0606636E" w:rsidR="00EB5BBA" w:rsidRPr="003151D7" w:rsidRDefault="00EB5BBA" w:rsidP="005167B4">
      <w:pPr>
        <w:pStyle w:val="Footer"/>
        <w:numPr>
          <w:ilvl w:val="1"/>
          <w:numId w:val="19"/>
        </w:numPr>
        <w:tabs>
          <w:tab w:val="clear" w:pos="4320"/>
          <w:tab w:val="clear" w:pos="8640"/>
        </w:tabs>
        <w:spacing w:after="120"/>
        <w:jc w:val="both"/>
        <w:rPr>
          <w:rFonts w:ascii="Effra Corp" w:eastAsia="Calibri" w:hAnsi="Effra Corp"/>
          <w:sz w:val="20"/>
          <w:szCs w:val="20"/>
          <w:lang w:val="el-GR"/>
        </w:rPr>
      </w:pPr>
      <w:r w:rsidRPr="00EB5BBA">
        <w:rPr>
          <w:rFonts w:ascii="Effra Corp" w:eastAsia="Calibri" w:hAnsi="Effra Corp" w:cs="Effra Corp"/>
          <w:sz w:val="20"/>
          <w:szCs w:val="20"/>
          <w:lang w:val="el-GR" w:bidi="el-GR"/>
        </w:rPr>
        <w:t>Το πρώτο τρίμηνο, η οργανική αύξηση των εσόδων εξαιρουμένης της Ρωσίας και της Ουκρανίας διαμορφώθηκε στο 25,9%.</w:t>
      </w:r>
    </w:p>
    <w:p w14:paraId="3E212769" w14:textId="2550ACBF" w:rsidR="003151D7" w:rsidRPr="003151D7" w:rsidRDefault="003151D7" w:rsidP="003151D7">
      <w:pPr>
        <w:pStyle w:val="Footer"/>
        <w:numPr>
          <w:ilvl w:val="1"/>
          <w:numId w:val="19"/>
        </w:numPr>
        <w:tabs>
          <w:tab w:val="clear" w:pos="4320"/>
          <w:tab w:val="clear" w:pos="8640"/>
        </w:tabs>
        <w:spacing w:after="120"/>
        <w:jc w:val="both"/>
        <w:rPr>
          <w:rFonts w:ascii="Effra Corp" w:eastAsia="Calibri" w:hAnsi="Effra Corp"/>
          <w:sz w:val="20"/>
          <w:szCs w:val="20"/>
          <w:lang w:val="el-GR"/>
        </w:rPr>
      </w:pPr>
      <w:r w:rsidRPr="00F96F1C">
        <w:rPr>
          <w:rFonts w:ascii="Effra Corp" w:eastAsia="Calibri" w:hAnsi="Effra Corp" w:cs="Effra Corp"/>
          <w:sz w:val="20"/>
          <w:szCs w:val="20"/>
          <w:lang w:val="el-GR" w:bidi="el-GR"/>
        </w:rPr>
        <w:t>Ο τομέας των αναδυόμενων αγορών παραμένει ισχυρός, παρά την υψηλή συγκριτική βάση.</w:t>
      </w:r>
    </w:p>
    <w:p w14:paraId="5D3A760B" w14:textId="55305C03" w:rsidR="004169A0" w:rsidRPr="00EB5BBA" w:rsidRDefault="009642E7" w:rsidP="009F2EAF">
      <w:pPr>
        <w:pStyle w:val="Footer"/>
        <w:numPr>
          <w:ilvl w:val="1"/>
          <w:numId w:val="19"/>
        </w:numPr>
        <w:tabs>
          <w:tab w:val="clear" w:pos="4320"/>
          <w:tab w:val="clear" w:pos="8640"/>
        </w:tabs>
        <w:spacing w:after="120"/>
        <w:jc w:val="both"/>
        <w:rPr>
          <w:rFonts w:ascii="Effra Corp" w:eastAsia="Calibri" w:hAnsi="Effra Corp"/>
          <w:sz w:val="20"/>
          <w:szCs w:val="20"/>
          <w:lang w:val="el-GR"/>
        </w:rPr>
      </w:pPr>
      <w:r w:rsidRPr="00EB5BBA">
        <w:rPr>
          <w:rFonts w:ascii="Effra Corp" w:eastAsia="Calibri" w:hAnsi="Effra Corp" w:cs="Effra Corp"/>
          <w:sz w:val="20"/>
          <w:szCs w:val="20"/>
          <w:lang w:val="el-GR" w:bidi="el-GR"/>
        </w:rPr>
        <w:t xml:space="preserve">Ο ρυθμός ανάπτυξης του μεριδίου αγοράς </w:t>
      </w:r>
      <w:r w:rsidR="000A5838" w:rsidRPr="00EB5BBA">
        <w:rPr>
          <w:rFonts w:ascii="Effra Corp" w:eastAsia="Calibri" w:hAnsi="Effra Corp" w:cs="Effra Corp"/>
          <w:sz w:val="20"/>
          <w:szCs w:val="20"/>
          <w:lang w:val="el-GR" w:bidi="el-GR"/>
        </w:rPr>
        <w:t xml:space="preserve">μας </w:t>
      </w:r>
      <w:r w:rsidRPr="00EB5BBA">
        <w:rPr>
          <w:rFonts w:ascii="Effra Corp" w:eastAsia="Calibri" w:hAnsi="Effra Corp" w:cs="Effra Corp"/>
          <w:sz w:val="20"/>
          <w:szCs w:val="20"/>
          <w:lang w:val="el-GR" w:bidi="el-GR"/>
        </w:rPr>
        <w:t>σε αξία επιταχύνθηκε, με τα ανθρακούχα αναψυκτικά να αυξάνο</w:t>
      </w:r>
      <w:r w:rsidR="004E407C">
        <w:rPr>
          <w:rFonts w:ascii="Effra Corp" w:eastAsia="Calibri" w:hAnsi="Effra Corp" w:cs="Effra Corp"/>
          <w:sz w:val="20"/>
          <w:szCs w:val="20"/>
          <w:lang w:val="el-GR" w:bidi="el-GR"/>
        </w:rPr>
        <w:t xml:space="preserve">υν το μερίδιο αγοράς τους </w:t>
      </w:r>
      <w:r w:rsidRPr="00EB5BBA">
        <w:rPr>
          <w:rFonts w:ascii="Effra Corp" w:eastAsia="Calibri" w:hAnsi="Effra Corp" w:cs="Effra Corp"/>
          <w:sz w:val="20"/>
          <w:szCs w:val="20"/>
          <w:lang w:val="el-GR" w:bidi="el-GR"/>
        </w:rPr>
        <w:t xml:space="preserve">κατά 240 μονάδες βάσης και τα έτοιμα προς κατανάλωση μη αλκοολούχα αναψυκτικά να </w:t>
      </w:r>
      <w:r w:rsidR="009E3980" w:rsidRPr="00EB5BBA">
        <w:rPr>
          <w:rFonts w:ascii="Effra Corp" w:eastAsia="Calibri" w:hAnsi="Effra Corp" w:cs="Effra Corp"/>
          <w:sz w:val="20"/>
          <w:szCs w:val="20"/>
          <w:lang w:val="el-GR" w:bidi="el-GR"/>
        </w:rPr>
        <w:t>αυξάνο</w:t>
      </w:r>
      <w:r w:rsidR="009E3980">
        <w:rPr>
          <w:rFonts w:ascii="Effra Corp" w:eastAsia="Calibri" w:hAnsi="Effra Corp" w:cs="Effra Corp"/>
          <w:sz w:val="20"/>
          <w:szCs w:val="20"/>
          <w:lang w:val="el-GR" w:bidi="el-GR"/>
        </w:rPr>
        <w:t>υν το μερίδιο αγοράς τους</w:t>
      </w:r>
      <w:r w:rsidRPr="00EB5BBA">
        <w:rPr>
          <w:rFonts w:ascii="Effra Corp" w:eastAsia="Calibri" w:hAnsi="Effra Corp" w:cs="Effra Corp"/>
          <w:sz w:val="20"/>
          <w:szCs w:val="20"/>
          <w:lang w:val="el-GR" w:bidi="el-GR"/>
        </w:rPr>
        <w:t xml:space="preserve"> κατά 190 μονάδες βάσης. Το μερίδιο </w:t>
      </w:r>
      <w:r w:rsidR="000A5838" w:rsidRPr="00EB5BBA">
        <w:rPr>
          <w:rFonts w:ascii="Effra Corp" w:eastAsia="Calibri" w:hAnsi="Effra Corp" w:cs="Effra Corp"/>
          <w:sz w:val="20"/>
          <w:szCs w:val="20"/>
          <w:lang w:val="el-GR" w:bidi="el-GR"/>
        </w:rPr>
        <w:t xml:space="preserve">αγοράς μας </w:t>
      </w:r>
      <w:r w:rsidRPr="00EB5BBA">
        <w:rPr>
          <w:rFonts w:ascii="Effra Corp" w:eastAsia="Calibri" w:hAnsi="Effra Corp" w:cs="Effra Corp"/>
          <w:sz w:val="20"/>
          <w:szCs w:val="20"/>
          <w:lang w:val="el-GR" w:bidi="el-GR"/>
        </w:rPr>
        <w:t xml:space="preserve">σε όγκο πωλήσεων συνέχισε να </w:t>
      </w:r>
      <w:r w:rsidR="00477DE1">
        <w:rPr>
          <w:rFonts w:ascii="Effra Corp" w:eastAsia="Calibri" w:hAnsi="Effra Corp" w:cs="Effra Corp"/>
          <w:sz w:val="20"/>
          <w:szCs w:val="20"/>
          <w:lang w:val="el-GR" w:bidi="el-GR"/>
        </w:rPr>
        <w:t>διευρύνεται</w:t>
      </w:r>
      <w:r w:rsidRPr="00EB5BBA">
        <w:rPr>
          <w:rFonts w:ascii="Effra Corp" w:eastAsia="Calibri" w:hAnsi="Effra Corp" w:cs="Effra Corp"/>
          <w:sz w:val="20"/>
          <w:szCs w:val="20"/>
          <w:lang w:val="el-GR" w:bidi="el-GR"/>
        </w:rPr>
        <w:t xml:space="preserve">. </w:t>
      </w:r>
    </w:p>
    <w:p w14:paraId="2C6FD449" w14:textId="75C197D0" w:rsidR="004169A0" w:rsidRPr="00F96F1C" w:rsidRDefault="004169A0" w:rsidP="00BB3E1E">
      <w:pPr>
        <w:pStyle w:val="Footer"/>
        <w:numPr>
          <w:ilvl w:val="0"/>
          <w:numId w:val="19"/>
        </w:numPr>
        <w:tabs>
          <w:tab w:val="clear" w:pos="4320"/>
          <w:tab w:val="clear" w:pos="8640"/>
        </w:tabs>
        <w:spacing w:after="120"/>
        <w:jc w:val="both"/>
        <w:rPr>
          <w:rFonts w:ascii="Effra Corp" w:eastAsia="Calibri" w:hAnsi="Effra Corp"/>
          <w:sz w:val="20"/>
          <w:szCs w:val="20"/>
          <w:lang w:val="el-GR"/>
        </w:rPr>
      </w:pPr>
      <w:r w:rsidRPr="00F96F1C">
        <w:rPr>
          <w:rFonts w:ascii="Effra Corp" w:eastAsia="Calibri" w:hAnsi="Effra Corp" w:cs="Effra Corp"/>
          <w:sz w:val="20"/>
          <w:szCs w:val="20"/>
          <w:lang w:val="el-GR" w:bidi="el-GR"/>
        </w:rPr>
        <w:t xml:space="preserve">Εξακολουθούμε να παρέχουμε έκτακτη </w:t>
      </w:r>
      <w:r w:rsidR="00992EBA">
        <w:rPr>
          <w:rFonts w:ascii="Effra Corp" w:eastAsia="Calibri" w:hAnsi="Effra Corp" w:cs="Effra Corp"/>
          <w:sz w:val="20"/>
          <w:szCs w:val="20"/>
          <w:lang w:val="el-GR" w:bidi="el-GR"/>
        </w:rPr>
        <w:t xml:space="preserve">βοήθεια και </w:t>
      </w:r>
      <w:r w:rsidRPr="00F96F1C">
        <w:rPr>
          <w:rFonts w:ascii="Effra Corp" w:eastAsia="Calibri" w:hAnsi="Effra Corp" w:cs="Effra Corp"/>
          <w:sz w:val="20"/>
          <w:szCs w:val="20"/>
          <w:lang w:val="el-GR" w:bidi="el-GR"/>
        </w:rPr>
        <w:t xml:space="preserve">οικονομική ενίσχυση στους ανθρώπους μας </w:t>
      </w:r>
      <w:r w:rsidR="00992EBA" w:rsidRPr="00F96F1C">
        <w:rPr>
          <w:rFonts w:ascii="Effra Corp" w:eastAsia="Calibri" w:hAnsi="Effra Corp" w:cs="Effra Corp"/>
          <w:sz w:val="20"/>
          <w:szCs w:val="20"/>
          <w:lang w:val="el-GR" w:bidi="el-GR"/>
        </w:rPr>
        <w:t xml:space="preserve">και τις οικογένειές τους </w:t>
      </w:r>
      <w:r w:rsidRPr="00F96F1C">
        <w:rPr>
          <w:rFonts w:ascii="Effra Corp" w:eastAsia="Calibri" w:hAnsi="Effra Corp" w:cs="Effra Corp"/>
          <w:sz w:val="20"/>
          <w:szCs w:val="20"/>
          <w:lang w:val="el-GR" w:bidi="el-GR"/>
        </w:rPr>
        <w:t xml:space="preserve">που βιώνουν τον αντίκτυπο </w:t>
      </w:r>
      <w:r w:rsidR="000E12CC">
        <w:rPr>
          <w:rFonts w:ascii="Effra Corp" w:eastAsia="Calibri" w:hAnsi="Effra Corp" w:cs="Effra Corp"/>
          <w:sz w:val="20"/>
          <w:szCs w:val="20"/>
          <w:lang w:val="el-GR" w:bidi="el-GR"/>
        </w:rPr>
        <w:t>της σύγκρουσης</w:t>
      </w:r>
      <w:r w:rsidRPr="00F96F1C">
        <w:rPr>
          <w:rFonts w:ascii="Effra Corp" w:eastAsia="Calibri" w:hAnsi="Effra Corp" w:cs="Effra Corp"/>
          <w:sz w:val="20"/>
          <w:szCs w:val="20"/>
          <w:lang w:val="el-GR" w:bidi="el-GR"/>
        </w:rPr>
        <w:t xml:space="preserve">. Επιπλέον, σε συνεργασία με την The Coca-Cola </w:t>
      </w:r>
      <w:proofErr w:type="spellStart"/>
      <w:r w:rsidRPr="00F96F1C">
        <w:rPr>
          <w:rFonts w:ascii="Effra Corp" w:eastAsia="Calibri" w:hAnsi="Effra Corp" w:cs="Effra Corp"/>
          <w:sz w:val="20"/>
          <w:szCs w:val="20"/>
          <w:lang w:val="el-GR" w:bidi="el-GR"/>
        </w:rPr>
        <w:t>Company</w:t>
      </w:r>
      <w:proofErr w:type="spellEnd"/>
      <w:r w:rsidRPr="00F96F1C">
        <w:rPr>
          <w:rFonts w:ascii="Effra Corp" w:eastAsia="Calibri" w:hAnsi="Effra Corp" w:cs="Effra Corp"/>
          <w:sz w:val="20"/>
          <w:szCs w:val="20"/>
          <w:lang w:val="el-GR" w:bidi="el-GR"/>
        </w:rPr>
        <w:t xml:space="preserve">, το The Coca-Cola </w:t>
      </w:r>
      <w:proofErr w:type="spellStart"/>
      <w:r w:rsidRPr="00F96F1C">
        <w:rPr>
          <w:rFonts w:ascii="Effra Corp" w:eastAsia="Calibri" w:hAnsi="Effra Corp" w:cs="Effra Corp"/>
          <w:sz w:val="20"/>
          <w:szCs w:val="20"/>
          <w:lang w:val="el-GR" w:bidi="el-GR"/>
        </w:rPr>
        <w:t>Foundation</w:t>
      </w:r>
      <w:proofErr w:type="spellEnd"/>
      <w:r w:rsidRPr="00F96F1C">
        <w:rPr>
          <w:rFonts w:ascii="Effra Corp" w:eastAsia="Calibri" w:hAnsi="Effra Corp" w:cs="Effra Corp"/>
          <w:sz w:val="20"/>
          <w:szCs w:val="20"/>
          <w:lang w:val="el-GR" w:bidi="el-GR"/>
        </w:rPr>
        <w:t xml:space="preserve"> και άλλες εταιρείες εμφιάλωσης, έχουμε </w:t>
      </w:r>
      <w:r w:rsidR="003B405B">
        <w:rPr>
          <w:rFonts w:ascii="Effra Corp" w:eastAsia="Calibri" w:hAnsi="Effra Corp" w:cs="Effra Corp"/>
          <w:sz w:val="20"/>
          <w:szCs w:val="20"/>
          <w:lang w:val="el-GR" w:bidi="el-GR"/>
        </w:rPr>
        <w:t>δεσμεύσει</w:t>
      </w:r>
      <w:r w:rsidRPr="00F96F1C">
        <w:rPr>
          <w:rFonts w:ascii="Effra Corp" w:eastAsia="Calibri" w:hAnsi="Effra Corp" w:cs="Effra Corp"/>
          <w:sz w:val="20"/>
          <w:szCs w:val="20"/>
          <w:lang w:val="el-GR" w:bidi="el-GR"/>
        </w:rPr>
        <w:t xml:space="preserve"> σχεδόν </w:t>
      </w:r>
      <w:r w:rsidR="009F2EAF" w:rsidRPr="009F2EAF">
        <w:rPr>
          <w:rFonts w:ascii="Effra Corp" w:eastAsia="Calibri" w:hAnsi="Effra Corp"/>
          <w:sz w:val="21"/>
          <w:szCs w:val="21"/>
          <w:lang w:val="el-GR"/>
        </w:rPr>
        <w:t>$</w:t>
      </w:r>
      <w:r w:rsidRPr="00F96F1C">
        <w:rPr>
          <w:rFonts w:ascii="Effra Corp" w:eastAsia="Calibri" w:hAnsi="Effra Corp" w:cs="Effra Corp"/>
          <w:sz w:val="20"/>
          <w:szCs w:val="20"/>
          <w:lang w:val="el-GR" w:bidi="el-GR"/>
        </w:rPr>
        <w:t xml:space="preserve">15 εκατ. σε πρωτοβουλίες </w:t>
      </w:r>
      <w:r w:rsidR="00D63880">
        <w:rPr>
          <w:rFonts w:ascii="Effra Corp" w:eastAsia="Calibri" w:hAnsi="Effra Corp" w:cs="Effra Corp"/>
          <w:sz w:val="20"/>
          <w:szCs w:val="20"/>
          <w:lang w:val="el-GR" w:bidi="el-GR"/>
        </w:rPr>
        <w:t xml:space="preserve">παροχής </w:t>
      </w:r>
      <w:r w:rsidRPr="00F96F1C">
        <w:rPr>
          <w:rFonts w:ascii="Effra Corp" w:eastAsia="Calibri" w:hAnsi="Effra Corp" w:cs="Effra Corp"/>
          <w:sz w:val="20"/>
          <w:szCs w:val="20"/>
          <w:lang w:val="el-GR" w:bidi="el-GR"/>
        </w:rPr>
        <w:t xml:space="preserve">ανθρωπιστικής βοήθειας στην περιοχή. </w:t>
      </w:r>
    </w:p>
    <w:p w14:paraId="6EC4D8C5" w14:textId="2F5CDA7C" w:rsidR="004169A0" w:rsidRPr="00BB3E1E" w:rsidRDefault="004169A0" w:rsidP="00BB3E1E">
      <w:pPr>
        <w:pStyle w:val="Footer"/>
        <w:numPr>
          <w:ilvl w:val="0"/>
          <w:numId w:val="19"/>
        </w:numPr>
        <w:tabs>
          <w:tab w:val="clear" w:pos="4320"/>
          <w:tab w:val="clear" w:pos="8640"/>
        </w:tabs>
        <w:spacing w:after="120"/>
        <w:jc w:val="both"/>
        <w:rPr>
          <w:rFonts w:ascii="Effra Corp" w:eastAsia="Calibri" w:hAnsi="Effra Corp"/>
          <w:sz w:val="20"/>
          <w:szCs w:val="20"/>
          <w:lang w:val="el-GR"/>
        </w:rPr>
      </w:pPr>
      <w:r w:rsidRPr="00BB3E1E">
        <w:rPr>
          <w:rFonts w:ascii="Effra Corp" w:eastAsia="Calibri" w:hAnsi="Effra Corp" w:cs="Effra Corp"/>
          <w:sz w:val="20"/>
          <w:szCs w:val="20"/>
          <w:lang w:val="el-GR" w:bidi="el-GR"/>
        </w:rPr>
        <w:t xml:space="preserve">Η </w:t>
      </w:r>
      <w:r w:rsidR="00E72DE1">
        <w:rPr>
          <w:rFonts w:ascii="Effra Corp" w:eastAsia="Calibri" w:hAnsi="Effra Corp" w:cs="Effra Corp"/>
          <w:sz w:val="20"/>
          <w:szCs w:val="20"/>
          <w:lang w:val="el-GR" w:bidi="el-GR"/>
        </w:rPr>
        <w:t xml:space="preserve">οργανική </w:t>
      </w:r>
      <w:r w:rsidRPr="00BB3E1E">
        <w:rPr>
          <w:rFonts w:ascii="Effra Corp" w:eastAsia="Calibri" w:hAnsi="Effra Corp" w:cs="Effra Corp"/>
          <w:sz w:val="20"/>
          <w:szCs w:val="20"/>
          <w:lang w:val="el-GR" w:bidi="el-GR"/>
        </w:rPr>
        <w:t xml:space="preserve">αύξηση του όγκου πωλήσεων κατά 11,3% συνεχίζει να </w:t>
      </w:r>
      <w:r w:rsidR="002E67BA">
        <w:rPr>
          <w:rFonts w:ascii="Effra Corp" w:eastAsia="Calibri" w:hAnsi="Effra Corp" w:cs="Effra Corp"/>
          <w:sz w:val="20"/>
          <w:szCs w:val="20"/>
          <w:lang w:val="el-GR" w:bidi="el-GR"/>
        </w:rPr>
        <w:t>βασίζεται</w:t>
      </w:r>
      <w:r w:rsidR="002E67BA" w:rsidRPr="00BB3E1E">
        <w:rPr>
          <w:rFonts w:ascii="Effra Corp" w:eastAsia="Calibri" w:hAnsi="Effra Corp" w:cs="Effra Corp"/>
          <w:sz w:val="20"/>
          <w:szCs w:val="20"/>
          <w:lang w:val="el-GR" w:bidi="el-GR"/>
        </w:rPr>
        <w:t xml:space="preserve"> </w:t>
      </w:r>
      <w:r w:rsidR="00D81502">
        <w:rPr>
          <w:rFonts w:ascii="Effra Corp" w:eastAsia="Calibri" w:hAnsi="Effra Corp" w:cs="Effra Corp"/>
          <w:sz w:val="20"/>
          <w:szCs w:val="20"/>
          <w:lang w:val="el-GR" w:bidi="el-GR"/>
        </w:rPr>
        <w:t>σ</w:t>
      </w:r>
      <w:r w:rsidRPr="00BB3E1E">
        <w:rPr>
          <w:rFonts w:ascii="Effra Corp" w:eastAsia="Calibri" w:hAnsi="Effra Corp" w:cs="Effra Corp"/>
          <w:sz w:val="20"/>
          <w:szCs w:val="20"/>
          <w:lang w:val="el-GR" w:bidi="el-GR"/>
        </w:rPr>
        <w:t>τις κατηγορίες προτεραιότητας του χαρτοφυλακίου προϊόντων 24ωρης/7ήμερης κατανάλωσης: ανθρακούχα +10,0%, ανθρακούχα με χαμηλή ή μηδενική ζάχαρη +45,3%, ανθρακούχα για ενήλικες +22,9% και ποτά ενέργειας +31,7%.</w:t>
      </w:r>
    </w:p>
    <w:p w14:paraId="10BCE01A" w14:textId="7963A504" w:rsidR="004169A0" w:rsidRPr="00F96F1C" w:rsidRDefault="00FB259E" w:rsidP="00BB3E1E">
      <w:pPr>
        <w:pStyle w:val="Footer"/>
        <w:numPr>
          <w:ilvl w:val="0"/>
          <w:numId w:val="19"/>
        </w:numPr>
        <w:tabs>
          <w:tab w:val="clear" w:pos="4320"/>
          <w:tab w:val="clear" w:pos="8640"/>
        </w:tabs>
        <w:spacing w:after="120"/>
        <w:jc w:val="both"/>
        <w:rPr>
          <w:rFonts w:ascii="Effra Corp" w:eastAsia="Calibri" w:hAnsi="Effra Corp"/>
          <w:sz w:val="20"/>
          <w:szCs w:val="20"/>
          <w:lang w:val="el-GR"/>
        </w:rPr>
      </w:pPr>
      <w:r w:rsidRPr="00F96F1C">
        <w:rPr>
          <w:rFonts w:ascii="Effra Corp" w:eastAsia="Calibri" w:hAnsi="Effra Corp" w:cs="Effra Corp"/>
          <w:sz w:val="20"/>
          <w:szCs w:val="20"/>
          <w:lang w:val="el-GR" w:bidi="el-GR"/>
        </w:rPr>
        <w:t>Η τιμολογιακή πολιτική και άλλες ενέργειες διαχείρισης της αύξησης των εσόδων οδήγησαν τα έσοδα ανά κιβώτιο σ</w:t>
      </w:r>
      <w:r w:rsidR="003B405B">
        <w:rPr>
          <w:rFonts w:ascii="Effra Corp" w:eastAsia="Calibri" w:hAnsi="Effra Corp" w:cs="Effra Corp"/>
          <w:sz w:val="20"/>
          <w:szCs w:val="20"/>
          <w:lang w:val="el-GR" w:bidi="el-GR"/>
        </w:rPr>
        <w:t>ε αύξηση</w:t>
      </w:r>
      <w:r w:rsidRPr="00F96F1C">
        <w:rPr>
          <w:rFonts w:ascii="Effra Corp" w:eastAsia="Calibri" w:hAnsi="Effra Corp" w:cs="Effra Corp"/>
          <w:sz w:val="20"/>
          <w:szCs w:val="20"/>
          <w:lang w:val="el-GR" w:bidi="el-GR"/>
        </w:rPr>
        <w:t> 11,6%</w:t>
      </w:r>
      <w:r w:rsidR="00E72DE1">
        <w:rPr>
          <w:rFonts w:ascii="Effra Corp" w:eastAsia="Calibri" w:hAnsi="Effra Corp" w:cs="Effra Corp"/>
          <w:sz w:val="20"/>
          <w:szCs w:val="20"/>
          <w:lang w:val="el-GR" w:bidi="el-GR"/>
        </w:rPr>
        <w:t xml:space="preserve"> σε οργανική βάση</w:t>
      </w:r>
      <w:r w:rsidRPr="00F96F1C">
        <w:rPr>
          <w:rFonts w:ascii="Effra Corp" w:eastAsia="Calibri" w:hAnsi="Effra Corp" w:cs="Effra Corp"/>
          <w:sz w:val="20"/>
          <w:szCs w:val="20"/>
          <w:lang w:val="el-GR" w:bidi="el-GR"/>
        </w:rPr>
        <w:t xml:space="preserve">, με βελτιωμένο μείγμα κατηγορίας προϊόντων, συσκευασίας και καναλιών διανομής. Και οι τρεις </w:t>
      </w:r>
      <w:r w:rsidR="003F6FDB">
        <w:rPr>
          <w:rFonts w:ascii="Effra Corp" w:eastAsia="Calibri" w:hAnsi="Effra Corp" w:cs="Effra Corp"/>
          <w:sz w:val="20"/>
          <w:szCs w:val="20"/>
          <w:lang w:val="el-GR" w:bidi="el-GR"/>
        </w:rPr>
        <w:t>αγορές μας</w:t>
      </w:r>
      <w:r w:rsidR="003F6FDB" w:rsidRPr="00F96F1C">
        <w:rPr>
          <w:rFonts w:ascii="Effra Corp" w:eastAsia="Calibri" w:hAnsi="Effra Corp" w:cs="Effra Corp"/>
          <w:sz w:val="20"/>
          <w:szCs w:val="20"/>
          <w:lang w:val="el-GR" w:bidi="el-GR"/>
        </w:rPr>
        <w:t xml:space="preserve"> </w:t>
      </w:r>
      <w:proofErr w:type="spellStart"/>
      <w:r w:rsidRPr="00F96F1C">
        <w:rPr>
          <w:rFonts w:ascii="Effra Corp" w:eastAsia="Calibri" w:hAnsi="Effra Corp" w:cs="Effra Corp"/>
          <w:sz w:val="20"/>
          <w:szCs w:val="20"/>
          <w:lang w:val="el-GR" w:bidi="el-GR"/>
        </w:rPr>
        <w:t>εφήρμοσαν</w:t>
      </w:r>
      <w:proofErr w:type="spellEnd"/>
      <w:r w:rsidRPr="00F96F1C">
        <w:rPr>
          <w:rFonts w:ascii="Effra Corp" w:eastAsia="Calibri" w:hAnsi="Effra Corp" w:cs="Effra Corp"/>
          <w:sz w:val="20"/>
          <w:szCs w:val="20"/>
          <w:lang w:val="el-GR" w:bidi="el-GR"/>
        </w:rPr>
        <w:t xml:space="preserve"> σχέδια τιμολογιακής πολιτικής προκειμένου να διαχειριστούν τις αυξημένες πληθωριστικές πιέσεις, χωρίς αρνητικό αντίκτυπο στους όγκους πωλήσεων.</w:t>
      </w:r>
    </w:p>
    <w:p w14:paraId="1BA450B8" w14:textId="1B95CD92" w:rsidR="004169A0" w:rsidRPr="00EB5BBA" w:rsidRDefault="004169A0" w:rsidP="00EB5BBA">
      <w:pPr>
        <w:pStyle w:val="Footer"/>
        <w:numPr>
          <w:ilvl w:val="0"/>
          <w:numId w:val="19"/>
        </w:numPr>
        <w:tabs>
          <w:tab w:val="clear" w:pos="4320"/>
          <w:tab w:val="clear" w:pos="8640"/>
        </w:tabs>
        <w:spacing w:after="120"/>
        <w:jc w:val="both"/>
        <w:rPr>
          <w:rFonts w:ascii="Effra Corp" w:eastAsia="Calibri" w:hAnsi="Effra Corp"/>
          <w:sz w:val="20"/>
          <w:szCs w:val="20"/>
          <w:lang w:val="el-GR"/>
        </w:rPr>
      </w:pPr>
      <w:r w:rsidRPr="003707D4">
        <w:rPr>
          <w:rFonts w:ascii="Effra Corp" w:eastAsia="Calibri" w:hAnsi="Effra Corp" w:cs="Effra Corp"/>
          <w:sz w:val="20"/>
          <w:szCs w:val="20"/>
          <w:lang w:val="el-GR" w:bidi="el-GR"/>
        </w:rPr>
        <w:t xml:space="preserve">Το πρώτο τρίμηνο, η Αίγυπτος </w:t>
      </w:r>
      <w:r w:rsidR="003707D4" w:rsidRPr="003707D4">
        <w:rPr>
          <w:rFonts w:ascii="Effra Corp" w:eastAsia="Calibri" w:hAnsi="Effra Corp" w:cs="Effra Corp"/>
          <w:sz w:val="20"/>
          <w:szCs w:val="20"/>
          <w:lang w:val="el-GR" w:bidi="el-GR"/>
        </w:rPr>
        <w:t xml:space="preserve">προσέθεσε </w:t>
      </w:r>
      <w:r w:rsidRPr="003707D4">
        <w:rPr>
          <w:rFonts w:ascii="Effra Corp" w:eastAsia="Calibri" w:hAnsi="Effra Corp" w:cs="Effra Corp"/>
          <w:sz w:val="20"/>
          <w:szCs w:val="20"/>
          <w:lang w:val="el-GR" w:bidi="el-GR"/>
        </w:rPr>
        <w:t xml:space="preserve">σχεδόν 12 ποσοστιαίες μονάδες και 7 ποσοστιαίες μονάδες </w:t>
      </w:r>
      <w:r w:rsidR="003707D4" w:rsidRPr="003707D4">
        <w:rPr>
          <w:rFonts w:ascii="Effra Corp" w:eastAsia="Calibri" w:hAnsi="Effra Corp" w:cs="Effra Corp"/>
          <w:sz w:val="20"/>
          <w:szCs w:val="20"/>
          <w:lang w:val="el-GR" w:bidi="el-GR"/>
        </w:rPr>
        <w:t>στο ρυθμό αύξησης του όγκου πωλήσεων και καθαρών εσόδων από πωλήσεις</w:t>
      </w:r>
      <w:r w:rsidR="003707D4">
        <w:rPr>
          <w:rFonts w:ascii="Effra Corp" w:eastAsia="Calibri" w:hAnsi="Effra Corp" w:cs="Effra Corp"/>
          <w:sz w:val="20"/>
          <w:szCs w:val="20"/>
          <w:lang w:val="el-GR" w:bidi="el-GR"/>
        </w:rPr>
        <w:t xml:space="preserve"> αντίστοιχα</w:t>
      </w:r>
      <w:r w:rsidRPr="003707D4">
        <w:rPr>
          <w:rFonts w:ascii="Effra Corp" w:eastAsia="Calibri" w:hAnsi="Effra Corp" w:cs="Effra Corp"/>
          <w:sz w:val="20"/>
          <w:szCs w:val="20"/>
          <w:lang w:val="el-GR" w:bidi="el-GR"/>
        </w:rPr>
        <w:t>. Η ενοποίησ</w:t>
      </w:r>
      <w:r w:rsidR="00DA1553">
        <w:rPr>
          <w:rFonts w:ascii="Effra Corp" w:eastAsia="Calibri" w:hAnsi="Effra Corp" w:cs="Effra Corp"/>
          <w:sz w:val="20"/>
          <w:szCs w:val="20"/>
          <w:lang w:val="el-GR" w:bidi="el-GR"/>
        </w:rPr>
        <w:t>ή</w:t>
      </w:r>
      <w:r w:rsidRPr="003707D4">
        <w:rPr>
          <w:rFonts w:ascii="Effra Corp" w:eastAsia="Calibri" w:hAnsi="Effra Corp" w:cs="Effra Corp"/>
          <w:sz w:val="20"/>
          <w:szCs w:val="20"/>
          <w:lang w:val="el-GR" w:bidi="el-GR"/>
        </w:rPr>
        <w:t xml:space="preserve"> </w:t>
      </w:r>
      <w:r w:rsidR="003F6FDB">
        <w:rPr>
          <w:rFonts w:ascii="Effra Corp" w:eastAsia="Calibri" w:hAnsi="Effra Corp" w:cs="Effra Corp"/>
          <w:sz w:val="20"/>
          <w:szCs w:val="20"/>
          <w:lang w:val="el-GR" w:bidi="el-GR"/>
        </w:rPr>
        <w:t>της</w:t>
      </w:r>
      <w:r w:rsidR="003F6FDB" w:rsidRPr="003707D4">
        <w:rPr>
          <w:rFonts w:ascii="Effra Corp" w:eastAsia="Calibri" w:hAnsi="Effra Corp" w:cs="Effra Corp"/>
          <w:sz w:val="20"/>
          <w:szCs w:val="20"/>
          <w:lang w:val="el-GR" w:bidi="el-GR"/>
        </w:rPr>
        <w:t xml:space="preserve"> </w:t>
      </w:r>
      <w:r w:rsidRPr="003707D4">
        <w:rPr>
          <w:rFonts w:ascii="Effra Corp" w:eastAsia="Calibri" w:hAnsi="Effra Corp" w:cs="Effra Corp"/>
          <w:sz w:val="20"/>
          <w:szCs w:val="20"/>
          <w:lang w:val="el-GR" w:bidi="el-GR"/>
        </w:rPr>
        <w:t xml:space="preserve">εξελίσσεται ταχύτερα από το αναμενόμενο. </w:t>
      </w:r>
    </w:p>
    <w:p w14:paraId="5CFC0D37" w14:textId="7CF5D41C" w:rsidR="00EB5BBA" w:rsidRPr="00925278" w:rsidRDefault="00925278" w:rsidP="00D033CF">
      <w:pPr>
        <w:pStyle w:val="ListParagraph"/>
        <w:numPr>
          <w:ilvl w:val="0"/>
          <w:numId w:val="19"/>
        </w:numPr>
        <w:jc w:val="both"/>
        <w:rPr>
          <w:lang w:val="el-GR" w:eastAsia="en-US"/>
        </w:rPr>
      </w:pPr>
      <w:r w:rsidRPr="00925278">
        <w:rPr>
          <w:rFonts w:ascii="Effra Corp" w:hAnsi="Effra Corp"/>
          <w:sz w:val="20"/>
          <w:szCs w:val="20"/>
          <w:lang w:val="el-GR"/>
        </w:rPr>
        <w:t>Όπως ανακοινώσαμε στο παρελθόν, συνεργαζόμαστε στενά με την </w:t>
      </w:r>
      <w:r w:rsidRPr="00925278">
        <w:rPr>
          <w:rFonts w:ascii="Effra Corp" w:hAnsi="Effra Corp"/>
          <w:sz w:val="20"/>
          <w:szCs w:val="20"/>
        </w:rPr>
        <w:t>The Coca</w:t>
      </w:r>
      <w:r w:rsidRPr="00925278">
        <w:rPr>
          <w:rFonts w:ascii="Effra Corp" w:hAnsi="Effra Corp"/>
          <w:sz w:val="20"/>
          <w:szCs w:val="20"/>
          <w:lang w:val="el-GR"/>
        </w:rPr>
        <w:t>-</w:t>
      </w:r>
      <w:r w:rsidRPr="00925278">
        <w:rPr>
          <w:rFonts w:ascii="Effra Corp" w:hAnsi="Effra Corp"/>
          <w:sz w:val="20"/>
          <w:szCs w:val="20"/>
        </w:rPr>
        <w:t>Cola Company</w:t>
      </w:r>
      <w:r w:rsidRPr="00925278">
        <w:rPr>
          <w:rFonts w:ascii="Effra Corp" w:hAnsi="Effra Corp"/>
          <w:sz w:val="20"/>
          <w:szCs w:val="20"/>
          <w:lang w:val="el-GR"/>
        </w:rPr>
        <w:t> για την εφαρμογή της απόφασ</w:t>
      </w:r>
      <w:r w:rsidR="00FD714C">
        <w:rPr>
          <w:rFonts w:ascii="Effra Corp" w:hAnsi="Effra Corp"/>
          <w:sz w:val="20"/>
          <w:szCs w:val="20"/>
          <w:lang w:val="el-GR"/>
        </w:rPr>
        <w:t>η</w:t>
      </w:r>
      <w:r w:rsidRPr="00925278">
        <w:rPr>
          <w:rFonts w:ascii="Effra Corp" w:hAnsi="Effra Corp"/>
          <w:sz w:val="20"/>
          <w:szCs w:val="20"/>
          <w:lang w:val="el-GR"/>
        </w:rPr>
        <w:t>ς να αναστείλει την επιχειρηματική της δραστηριότητα στη Ρωσία</w:t>
      </w:r>
      <w:r w:rsidR="009533C9" w:rsidRPr="00925278">
        <w:rPr>
          <w:rFonts w:ascii="Effra Corp" w:hAnsi="Effra Corp"/>
          <w:sz w:val="20"/>
          <w:szCs w:val="20"/>
          <w:lang w:val="el-GR"/>
        </w:rPr>
        <w:t>. Μπορούμε</w:t>
      </w:r>
      <w:r w:rsidR="009533C9" w:rsidRPr="00925278">
        <w:rPr>
          <w:rFonts w:ascii="Effra Corp" w:eastAsia="Calibri" w:hAnsi="Effra Corp"/>
          <w:sz w:val="20"/>
          <w:szCs w:val="20"/>
          <w:lang w:val="el-GR"/>
        </w:rPr>
        <w:t xml:space="preserve"> να επιβεβαιώσουμε ότι </w:t>
      </w:r>
      <w:r w:rsidR="00A62D3B" w:rsidRPr="00925278">
        <w:rPr>
          <w:rFonts w:ascii="Effra Corp" w:eastAsia="Calibri" w:hAnsi="Effra Corp"/>
          <w:sz w:val="20"/>
          <w:szCs w:val="20"/>
          <w:lang w:val="el-GR"/>
        </w:rPr>
        <w:t>από την</w:t>
      </w:r>
      <w:r w:rsidR="009533C9" w:rsidRPr="00925278">
        <w:rPr>
          <w:rFonts w:ascii="Effra Corp" w:eastAsia="Calibri" w:hAnsi="Effra Corp"/>
          <w:sz w:val="20"/>
          <w:szCs w:val="20"/>
          <w:lang w:val="el-GR"/>
        </w:rPr>
        <w:t xml:space="preserve"> 8</w:t>
      </w:r>
      <w:r w:rsidR="00A62D3B" w:rsidRPr="00925278">
        <w:rPr>
          <w:rFonts w:ascii="Effra Corp" w:eastAsia="Calibri" w:hAnsi="Effra Corp"/>
          <w:sz w:val="20"/>
          <w:szCs w:val="20"/>
          <w:lang w:val="el-GR"/>
        </w:rPr>
        <w:t>η</w:t>
      </w:r>
      <w:r w:rsidR="009533C9" w:rsidRPr="00925278">
        <w:rPr>
          <w:rFonts w:ascii="Effra Corp" w:eastAsia="Calibri" w:hAnsi="Effra Corp"/>
          <w:sz w:val="20"/>
          <w:szCs w:val="20"/>
          <w:lang w:val="el-GR"/>
        </w:rPr>
        <w:t xml:space="preserve"> Μαρτίου </w:t>
      </w:r>
      <w:r w:rsidR="003151D7" w:rsidRPr="00925278">
        <w:rPr>
          <w:rFonts w:ascii="Effra Corp" w:eastAsia="Calibri" w:hAnsi="Effra Corp"/>
          <w:sz w:val="20"/>
          <w:szCs w:val="20"/>
          <w:lang w:val="el-GR"/>
        </w:rPr>
        <w:t>σταματήσαμε τις</w:t>
      </w:r>
      <w:r w:rsidR="00EB5BBA" w:rsidRPr="00925278">
        <w:rPr>
          <w:rFonts w:ascii="Effra Corp" w:eastAsia="Calibri" w:hAnsi="Effra Corp"/>
          <w:sz w:val="20"/>
          <w:szCs w:val="20"/>
          <w:lang w:val="el-GR"/>
        </w:rPr>
        <w:t xml:space="preserve"> </w:t>
      </w:r>
      <w:r w:rsidR="003151D7" w:rsidRPr="00925278">
        <w:rPr>
          <w:rFonts w:ascii="Effra Corp" w:eastAsia="Calibri" w:hAnsi="Effra Corp"/>
          <w:sz w:val="20"/>
          <w:szCs w:val="20"/>
          <w:lang w:val="el-GR"/>
        </w:rPr>
        <w:t>παραγγελίες</w:t>
      </w:r>
      <w:r w:rsidR="00EB5BBA" w:rsidRPr="00925278">
        <w:rPr>
          <w:rFonts w:ascii="Effra Corp" w:eastAsia="Calibri" w:hAnsi="Effra Corp"/>
          <w:sz w:val="20"/>
          <w:szCs w:val="20"/>
          <w:lang w:val="el-GR"/>
        </w:rPr>
        <w:t xml:space="preserve"> </w:t>
      </w:r>
      <w:r w:rsidR="00E074FB" w:rsidRPr="00925278">
        <w:rPr>
          <w:rFonts w:ascii="Effra Corp" w:eastAsia="Calibri" w:hAnsi="Effra Corp"/>
          <w:sz w:val="20"/>
          <w:szCs w:val="20"/>
          <w:lang w:val="el-GR"/>
        </w:rPr>
        <w:t>συμπυκν</w:t>
      </w:r>
      <w:r w:rsidR="00AE7FD1" w:rsidRPr="00925278">
        <w:rPr>
          <w:rFonts w:ascii="Effra Corp" w:eastAsia="Calibri" w:hAnsi="Effra Corp"/>
          <w:sz w:val="20"/>
          <w:szCs w:val="20"/>
          <w:lang w:val="el-GR"/>
        </w:rPr>
        <w:t>ω</w:t>
      </w:r>
      <w:r w:rsidR="00E074FB" w:rsidRPr="00925278">
        <w:rPr>
          <w:rFonts w:ascii="Effra Corp" w:eastAsia="Calibri" w:hAnsi="Effra Corp"/>
          <w:sz w:val="20"/>
          <w:szCs w:val="20"/>
          <w:lang w:val="el-GR"/>
        </w:rPr>
        <w:t>μ</w:t>
      </w:r>
      <w:r w:rsidR="00AE7FD1" w:rsidRPr="00925278">
        <w:rPr>
          <w:rFonts w:ascii="Effra Corp" w:eastAsia="Calibri" w:hAnsi="Effra Corp"/>
          <w:sz w:val="20"/>
          <w:szCs w:val="20"/>
          <w:lang w:val="el-GR"/>
        </w:rPr>
        <w:t>ένης πρώτης ύλης</w:t>
      </w:r>
      <w:r w:rsidR="00EB5BBA" w:rsidRPr="00925278">
        <w:rPr>
          <w:rFonts w:ascii="Effra Corp" w:eastAsia="Calibri" w:hAnsi="Effra Corp"/>
          <w:sz w:val="20"/>
          <w:szCs w:val="20"/>
          <w:lang w:val="el-GR"/>
        </w:rPr>
        <w:t xml:space="preserve"> στη Ρωσία </w:t>
      </w:r>
      <w:r w:rsidR="00382065" w:rsidRPr="00925278">
        <w:rPr>
          <w:rFonts w:ascii="Effra Corp" w:eastAsia="Calibri" w:hAnsi="Effra Corp"/>
          <w:sz w:val="20"/>
          <w:szCs w:val="20"/>
          <w:lang w:val="el-GR"/>
        </w:rPr>
        <w:t xml:space="preserve">και </w:t>
      </w:r>
      <w:r w:rsidR="003151D7" w:rsidRPr="00925278">
        <w:rPr>
          <w:rFonts w:ascii="Effra Corp" w:eastAsia="Calibri" w:hAnsi="Effra Corp"/>
          <w:sz w:val="20"/>
          <w:szCs w:val="20"/>
          <w:lang w:val="el-GR"/>
        </w:rPr>
        <w:t>διακόψαμε τι</w:t>
      </w:r>
      <w:r w:rsidR="00982141" w:rsidRPr="00925278">
        <w:rPr>
          <w:rFonts w:ascii="Effra Corp" w:eastAsia="Calibri" w:hAnsi="Effra Corp"/>
          <w:sz w:val="20"/>
          <w:szCs w:val="20"/>
          <w:lang w:val="el-GR"/>
        </w:rPr>
        <w:t>ς</w:t>
      </w:r>
      <w:r w:rsidR="00382065" w:rsidRPr="00925278">
        <w:rPr>
          <w:rFonts w:ascii="Effra Corp" w:eastAsia="Calibri" w:hAnsi="Effra Corp"/>
          <w:sz w:val="20"/>
          <w:szCs w:val="20"/>
          <w:lang w:val="el-GR"/>
        </w:rPr>
        <w:t xml:space="preserve"> επενδύσεις στην αγορά.</w:t>
      </w:r>
      <w:r w:rsidR="009533C9" w:rsidRPr="00925278">
        <w:rPr>
          <w:rFonts w:ascii="Effra Corp" w:eastAsia="Calibri" w:hAnsi="Effra Corp"/>
          <w:sz w:val="20"/>
          <w:szCs w:val="20"/>
          <w:lang w:val="el-GR"/>
        </w:rPr>
        <w:t xml:space="preserve"> </w:t>
      </w:r>
      <w:r w:rsidR="00276C2D" w:rsidRPr="00925278">
        <w:rPr>
          <w:rFonts w:ascii="Effra Corp" w:eastAsia="Calibri" w:hAnsi="Effra Corp"/>
          <w:sz w:val="20"/>
          <w:szCs w:val="20"/>
          <w:lang w:val="el-GR"/>
        </w:rPr>
        <w:t>Σύμφωνα με την ανακοίνωσή μας της 3</w:t>
      </w:r>
      <w:r w:rsidR="00A62D3B" w:rsidRPr="00925278">
        <w:rPr>
          <w:rFonts w:ascii="Effra Corp" w:eastAsia="Calibri" w:hAnsi="Effra Corp"/>
          <w:sz w:val="20"/>
          <w:szCs w:val="20"/>
          <w:lang w:val="el-GR"/>
        </w:rPr>
        <w:t>ης</w:t>
      </w:r>
      <w:r w:rsidR="00276C2D" w:rsidRPr="00925278">
        <w:rPr>
          <w:rFonts w:ascii="Effra Corp" w:eastAsia="Calibri" w:hAnsi="Effra Corp"/>
          <w:sz w:val="20"/>
          <w:szCs w:val="20"/>
          <w:lang w:val="el-GR"/>
        </w:rPr>
        <w:t xml:space="preserve"> Μαρτίου, ο</w:t>
      </w:r>
      <w:r w:rsidR="008A5A75" w:rsidRPr="00925278">
        <w:rPr>
          <w:rFonts w:ascii="Effra Corp" w:eastAsia="Calibri" w:hAnsi="Effra Corp"/>
          <w:sz w:val="20"/>
          <w:szCs w:val="20"/>
          <w:lang w:val="el-GR"/>
        </w:rPr>
        <w:t xml:space="preserve">ι εκτιμήσεις μας για τις </w:t>
      </w:r>
      <w:r w:rsidR="00155F88" w:rsidRPr="00925278">
        <w:rPr>
          <w:rFonts w:ascii="Effra Corp" w:eastAsia="Calibri" w:hAnsi="Effra Corp"/>
          <w:sz w:val="20"/>
          <w:szCs w:val="20"/>
          <w:lang w:val="el-GR"/>
        </w:rPr>
        <w:t>επιχειρηματικές</w:t>
      </w:r>
      <w:r w:rsidR="008A5A75" w:rsidRPr="00925278">
        <w:rPr>
          <w:rFonts w:ascii="Effra Corp" w:eastAsia="Calibri" w:hAnsi="Effra Corp"/>
          <w:sz w:val="20"/>
          <w:szCs w:val="20"/>
          <w:lang w:val="el-GR"/>
        </w:rPr>
        <w:t xml:space="preserve"> προοπτικές του </w:t>
      </w:r>
      <w:r w:rsidR="00276C2D" w:rsidRPr="00925278">
        <w:rPr>
          <w:rFonts w:ascii="Effra Corp" w:eastAsia="Calibri" w:hAnsi="Effra Corp"/>
          <w:sz w:val="20"/>
          <w:szCs w:val="20"/>
          <w:lang w:val="el-GR"/>
        </w:rPr>
        <w:t xml:space="preserve">τρέχοντος </w:t>
      </w:r>
      <w:r w:rsidR="008A5A75" w:rsidRPr="00925278">
        <w:rPr>
          <w:rFonts w:ascii="Effra Corp" w:eastAsia="Calibri" w:hAnsi="Effra Corp"/>
          <w:sz w:val="20"/>
          <w:szCs w:val="20"/>
          <w:lang w:val="el-GR"/>
        </w:rPr>
        <w:t>έτους</w:t>
      </w:r>
      <w:r w:rsidR="00276C2D" w:rsidRPr="00925278">
        <w:rPr>
          <w:rFonts w:ascii="Effra Corp" w:eastAsia="Calibri" w:hAnsi="Effra Corp"/>
          <w:sz w:val="20"/>
          <w:szCs w:val="20"/>
          <w:lang w:val="el-GR"/>
        </w:rPr>
        <w:t xml:space="preserve"> </w:t>
      </w:r>
      <w:r w:rsidR="008A5A75" w:rsidRPr="00925278">
        <w:rPr>
          <w:rFonts w:ascii="Effra Corp" w:eastAsia="Calibri" w:hAnsi="Effra Corp"/>
          <w:sz w:val="20"/>
          <w:szCs w:val="20"/>
          <w:lang w:val="el-GR"/>
        </w:rPr>
        <w:t>έχουν αποσυρθεί.</w:t>
      </w:r>
    </w:p>
    <w:p w14:paraId="3006E8CE" w14:textId="77777777" w:rsidR="004169A0" w:rsidRPr="003707D4" w:rsidRDefault="004169A0" w:rsidP="004169A0">
      <w:pPr>
        <w:pStyle w:val="Footer"/>
        <w:tabs>
          <w:tab w:val="clear" w:pos="4320"/>
          <w:tab w:val="clear" w:pos="8640"/>
        </w:tabs>
        <w:ind w:left="360"/>
        <w:rPr>
          <w:rFonts w:ascii="Effra Corp" w:eastAsia="Calibri" w:hAnsi="Effra Corp"/>
          <w:sz w:val="20"/>
          <w:szCs w:val="20"/>
          <w:lang w:val="el-GR"/>
        </w:rPr>
      </w:pPr>
    </w:p>
    <w:p w14:paraId="0B5E605E" w14:textId="77777777" w:rsidR="000E12CC" w:rsidRPr="000978E8" w:rsidRDefault="000E12CC" w:rsidP="000E12CC">
      <w:pPr>
        <w:spacing w:after="120"/>
        <w:rPr>
          <w:rFonts w:ascii="Effra Corp" w:hAnsi="Effra Corp" w:cs="Arial"/>
          <w:b/>
          <w:bCs/>
          <w:color w:val="FF0000"/>
          <w:spacing w:val="-2"/>
          <w:sz w:val="20"/>
          <w:szCs w:val="20"/>
          <w:lang w:val="el-GR"/>
        </w:rPr>
      </w:pPr>
      <w:r w:rsidRPr="000978E8">
        <w:rPr>
          <w:rFonts w:ascii="Effra Corp" w:eastAsia="Effra Corp" w:hAnsi="Effra Corp" w:cs="Arial"/>
          <w:b/>
          <w:color w:val="FF0000"/>
          <w:spacing w:val="-2"/>
          <w:sz w:val="20"/>
          <w:szCs w:val="20"/>
          <w:lang w:val="el-GR" w:bidi="el-GR"/>
        </w:rPr>
        <w:t xml:space="preserve">Ο κ. </w:t>
      </w:r>
      <w:proofErr w:type="spellStart"/>
      <w:r w:rsidRPr="000978E8">
        <w:rPr>
          <w:rFonts w:ascii="Effra Corp" w:eastAsia="Effra Corp" w:hAnsi="Effra Corp" w:cs="Arial"/>
          <w:b/>
          <w:color w:val="FF0000"/>
          <w:spacing w:val="-2"/>
          <w:sz w:val="20"/>
          <w:szCs w:val="20"/>
          <w:lang w:val="el-GR" w:bidi="el-GR"/>
        </w:rPr>
        <w:t>Zoran</w:t>
      </w:r>
      <w:proofErr w:type="spellEnd"/>
      <w:r w:rsidRPr="000978E8">
        <w:rPr>
          <w:rFonts w:ascii="Effra Corp" w:eastAsia="Effra Corp" w:hAnsi="Effra Corp" w:cs="Arial"/>
          <w:b/>
          <w:color w:val="FF0000"/>
          <w:spacing w:val="-2"/>
          <w:sz w:val="20"/>
          <w:szCs w:val="20"/>
          <w:lang w:val="el-GR" w:bidi="el-GR"/>
        </w:rPr>
        <w:t xml:space="preserve"> </w:t>
      </w:r>
      <w:proofErr w:type="spellStart"/>
      <w:r w:rsidRPr="000978E8">
        <w:rPr>
          <w:rFonts w:ascii="Effra Corp" w:eastAsia="Effra Corp" w:hAnsi="Effra Corp" w:cs="Arial"/>
          <w:b/>
          <w:color w:val="FF0000"/>
          <w:spacing w:val="-2"/>
          <w:sz w:val="20"/>
          <w:szCs w:val="20"/>
          <w:lang w:val="el-GR" w:bidi="el-GR"/>
        </w:rPr>
        <w:t>Bogdanovic</w:t>
      </w:r>
      <w:proofErr w:type="spellEnd"/>
      <w:r w:rsidRPr="000978E8">
        <w:rPr>
          <w:rFonts w:ascii="Effra Corp" w:eastAsia="Effra Corp" w:hAnsi="Effra Corp" w:cs="Arial"/>
          <w:b/>
          <w:color w:val="FF0000"/>
          <w:spacing w:val="-2"/>
          <w:sz w:val="20"/>
          <w:szCs w:val="20"/>
          <w:lang w:val="el-GR" w:bidi="el-GR"/>
        </w:rPr>
        <w:t>, Διευθύνων Σύμβουλος της Coca-Cola HBC AG, σχολίασε:</w:t>
      </w:r>
    </w:p>
    <w:p w14:paraId="3EA39AA4" w14:textId="4F0755ED" w:rsidR="000E12CC" w:rsidRPr="004F67C8" w:rsidRDefault="000E12CC" w:rsidP="000E12CC">
      <w:pPr>
        <w:jc w:val="both"/>
        <w:rPr>
          <w:rFonts w:ascii="Effra Corp" w:hAnsi="Effra Corp"/>
          <w:i/>
          <w:iCs/>
          <w:color w:val="000000"/>
          <w:sz w:val="20"/>
          <w:szCs w:val="20"/>
          <w:bdr w:val="none" w:sz="0" w:space="0" w:color="auto" w:frame="1"/>
          <w:lang w:val="el-GR"/>
          <w14:textOutline w14:w="0" w14:cap="flat" w14:cmpd="sng" w14:algn="ctr">
            <w14:noFill/>
            <w14:prstDash w14:val="solid"/>
            <w14:bevel/>
          </w14:textOutline>
        </w:rPr>
      </w:pPr>
      <w:r>
        <w:rPr>
          <w:rFonts w:ascii="Effra Corp" w:eastAsia="Effra Corp" w:hAnsi="Effra Corp" w:cs="Effra Corp"/>
          <w:i/>
          <w:color w:val="000000"/>
          <w:sz w:val="20"/>
          <w:szCs w:val="20"/>
          <w:bdr w:val="none" w:sz="0" w:space="0" w:color="auto" w:frame="1"/>
          <w:lang w:val="el-GR" w:bidi="el-GR"/>
          <w14:textOutline w14:w="0" w14:cap="flat" w14:cmpd="sng" w14:algn="ctr">
            <w14:noFill/>
            <w14:prstDash w14:val="solid"/>
            <w14:bevel/>
          </w14:textOutline>
        </w:rPr>
        <w:t xml:space="preserve">«Είμαστε </w:t>
      </w:r>
      <w:r w:rsidR="00022FD6">
        <w:rPr>
          <w:rFonts w:ascii="Effra Corp" w:eastAsia="Effra Corp" w:hAnsi="Effra Corp" w:cs="Effra Corp"/>
          <w:i/>
          <w:color w:val="000000"/>
          <w:sz w:val="20"/>
          <w:szCs w:val="20"/>
          <w:bdr w:val="none" w:sz="0" w:space="0" w:color="auto" w:frame="1"/>
          <w:lang w:val="el-GR" w:bidi="el-GR"/>
          <w14:textOutline w14:w="0" w14:cap="flat" w14:cmpd="sng" w14:algn="ctr">
            <w14:noFill/>
            <w14:prstDash w14:val="solid"/>
            <w14:bevel/>
          </w14:textOutline>
        </w:rPr>
        <w:t>συγκλονισμένοι</w:t>
      </w:r>
      <w:r>
        <w:rPr>
          <w:rFonts w:ascii="Effra Corp" w:eastAsia="Effra Corp" w:hAnsi="Effra Corp" w:cs="Effra Corp"/>
          <w:i/>
          <w:color w:val="000000"/>
          <w:sz w:val="20"/>
          <w:szCs w:val="20"/>
          <w:bdr w:val="none" w:sz="0" w:space="0" w:color="auto" w:frame="1"/>
          <w:lang w:val="el-GR" w:bidi="el-GR"/>
          <w14:textOutline w14:w="0" w14:cap="flat" w14:cmpd="sng" w14:algn="ctr">
            <w14:noFill/>
            <w14:prstDash w14:val="solid"/>
            <w14:bevel/>
          </w14:textOutline>
        </w:rPr>
        <w:t xml:space="preserve"> από την </w:t>
      </w:r>
      <w:r w:rsidR="002A2DD6">
        <w:rPr>
          <w:rFonts w:ascii="Effra Corp" w:eastAsia="Effra Corp" w:hAnsi="Effra Corp" w:cs="Effra Corp"/>
          <w:i/>
          <w:color w:val="000000"/>
          <w:sz w:val="20"/>
          <w:szCs w:val="20"/>
          <w:bdr w:val="none" w:sz="0" w:space="0" w:color="auto" w:frame="1"/>
          <w:lang w:val="el-GR" w:bidi="el-GR"/>
          <w14:textOutline w14:w="0" w14:cap="flat" w14:cmpd="sng" w14:algn="ctr">
            <w14:noFill/>
            <w14:prstDash w14:val="solid"/>
            <w14:bevel/>
          </w14:textOutline>
        </w:rPr>
        <w:t xml:space="preserve">ανείπωτη </w:t>
      </w:r>
      <w:r>
        <w:rPr>
          <w:rFonts w:ascii="Effra Corp" w:eastAsia="Effra Corp" w:hAnsi="Effra Corp" w:cs="Effra Corp"/>
          <w:i/>
          <w:color w:val="000000"/>
          <w:sz w:val="20"/>
          <w:szCs w:val="20"/>
          <w:bdr w:val="none" w:sz="0" w:space="0" w:color="auto" w:frame="1"/>
          <w:lang w:val="el-GR" w:bidi="el-GR"/>
          <w14:textOutline w14:w="0" w14:cap="flat" w14:cmpd="sng" w14:algn="ctr">
            <w14:noFill/>
            <w14:prstDash w14:val="solid"/>
            <w14:bevel/>
          </w14:textOutline>
        </w:rPr>
        <w:t xml:space="preserve">τραγωδία και τον </w:t>
      </w:r>
      <w:r w:rsidR="002A2DD6">
        <w:rPr>
          <w:rFonts w:ascii="Effra Corp" w:eastAsia="Effra Corp" w:hAnsi="Effra Corp" w:cs="Effra Corp"/>
          <w:i/>
          <w:color w:val="000000"/>
          <w:sz w:val="20"/>
          <w:szCs w:val="20"/>
          <w:bdr w:val="none" w:sz="0" w:space="0" w:color="auto" w:frame="1"/>
          <w:lang w:val="el-GR" w:bidi="el-GR"/>
          <w14:textOutline w14:w="0" w14:cap="flat" w14:cmpd="sng" w14:algn="ctr">
            <w14:noFill/>
            <w14:prstDash w14:val="solid"/>
            <w14:bevel/>
          </w14:textOutline>
        </w:rPr>
        <w:t xml:space="preserve">συνεχιζόμενο </w:t>
      </w:r>
      <w:r>
        <w:rPr>
          <w:rFonts w:ascii="Effra Corp" w:eastAsia="Effra Corp" w:hAnsi="Effra Corp" w:cs="Effra Corp"/>
          <w:i/>
          <w:color w:val="000000"/>
          <w:sz w:val="20"/>
          <w:szCs w:val="20"/>
          <w:bdr w:val="none" w:sz="0" w:space="0" w:color="auto" w:frame="1"/>
          <w:lang w:val="el-GR" w:bidi="el-GR"/>
          <w14:textOutline w14:w="0" w14:cap="flat" w14:cmpd="sng" w14:algn="ctr">
            <w14:noFill/>
            <w14:prstDash w14:val="solid"/>
            <w14:bevel/>
          </w14:textOutline>
        </w:rPr>
        <w:t>ανθρώπινο πόνο</w:t>
      </w:r>
      <w:r w:rsidRPr="004F67C8">
        <w:rPr>
          <w:rFonts w:ascii="Effra Corp" w:eastAsia="Effra Corp" w:hAnsi="Effra Corp" w:cs="Effra Corp"/>
          <w:i/>
          <w:color w:val="000000"/>
          <w:sz w:val="20"/>
          <w:szCs w:val="20"/>
          <w:bdr w:val="none" w:sz="0" w:space="0" w:color="auto" w:frame="1"/>
          <w:lang w:val="el-GR" w:bidi="el-GR"/>
          <w14:textOutline w14:w="0" w14:cap="flat" w14:cmpd="sng" w14:algn="ctr">
            <w14:noFill/>
            <w14:prstDash w14:val="solid"/>
            <w14:bevel/>
          </w14:textOutline>
        </w:rPr>
        <w:t xml:space="preserve"> στην Ουκρανία</w:t>
      </w:r>
      <w:r>
        <w:rPr>
          <w:rFonts w:ascii="Effra Corp" w:eastAsia="Effra Corp" w:hAnsi="Effra Corp" w:cs="Effra Corp"/>
          <w:i/>
          <w:color w:val="000000"/>
          <w:sz w:val="20"/>
          <w:szCs w:val="20"/>
          <w:bdr w:val="none" w:sz="0" w:space="0" w:color="auto" w:frame="1"/>
          <w:lang w:val="el-GR" w:bidi="el-GR"/>
          <w14:textOutline w14:w="0" w14:cap="flat" w14:cmpd="sng" w14:algn="ctr">
            <w14:noFill/>
            <w14:prstDash w14:val="solid"/>
            <w14:bevel/>
          </w14:textOutline>
        </w:rPr>
        <w:t>.</w:t>
      </w:r>
      <w:r w:rsidRPr="004F67C8">
        <w:rPr>
          <w:rFonts w:ascii="Effra Corp" w:eastAsia="Effra Corp" w:hAnsi="Effra Corp" w:cs="Effra Corp"/>
          <w:i/>
          <w:color w:val="000000"/>
          <w:sz w:val="20"/>
          <w:szCs w:val="20"/>
          <w:bdr w:val="none" w:sz="0" w:space="0" w:color="auto" w:frame="1"/>
          <w:lang w:val="el-GR" w:bidi="el-GR"/>
          <w14:textOutline w14:w="0" w14:cap="flat" w14:cmpd="sng" w14:algn="ctr">
            <w14:noFill/>
            <w14:prstDash w14:val="solid"/>
            <w14:bevel/>
          </w14:textOutline>
        </w:rPr>
        <w:t xml:space="preserve"> </w:t>
      </w:r>
      <w:r w:rsidR="002A2DD6">
        <w:rPr>
          <w:rFonts w:ascii="Effra Corp" w:eastAsia="Effra Corp" w:hAnsi="Effra Corp" w:cs="Effra Corp"/>
          <w:i/>
          <w:color w:val="000000"/>
          <w:sz w:val="20"/>
          <w:szCs w:val="20"/>
          <w:bdr w:val="none" w:sz="0" w:space="0" w:color="auto" w:frame="1"/>
          <w:lang w:val="el-GR" w:bidi="el-GR"/>
          <w14:textOutline w14:w="0" w14:cap="flat" w14:cmpd="sng" w14:algn="ctr">
            <w14:noFill/>
            <w14:prstDash w14:val="solid"/>
            <w14:bevel/>
          </w14:textOutline>
        </w:rPr>
        <w:t>Συμπαραστεκόμαστε</w:t>
      </w:r>
      <w:r w:rsidRPr="004F67C8">
        <w:rPr>
          <w:rFonts w:ascii="Effra Corp" w:eastAsia="Effra Corp" w:hAnsi="Effra Corp" w:cs="Effra Corp"/>
          <w:i/>
          <w:color w:val="000000"/>
          <w:sz w:val="20"/>
          <w:szCs w:val="20"/>
          <w:bdr w:val="none" w:sz="0" w:space="0" w:color="auto" w:frame="1"/>
          <w:lang w:val="el-GR" w:bidi="el-GR"/>
          <w14:textOutline w14:w="0" w14:cap="flat" w14:cmpd="sng" w14:algn="ctr">
            <w14:noFill/>
            <w14:prstDash w14:val="solid"/>
            <w14:bevel/>
          </w14:textOutline>
        </w:rPr>
        <w:t xml:space="preserve"> στους</w:t>
      </w:r>
      <w:r>
        <w:rPr>
          <w:rFonts w:ascii="Effra Corp" w:eastAsia="Effra Corp" w:hAnsi="Effra Corp" w:cs="Effra Corp"/>
          <w:i/>
          <w:color w:val="000000"/>
          <w:sz w:val="20"/>
          <w:szCs w:val="20"/>
          <w:bdr w:val="none" w:sz="0" w:space="0" w:color="auto" w:frame="1"/>
          <w:lang w:val="el-GR" w:bidi="el-GR"/>
          <w14:textOutline w14:w="0" w14:cap="flat" w14:cmpd="sng" w14:algn="ctr">
            <w14:noFill/>
            <w14:prstDash w14:val="solid"/>
            <w14:bevel/>
          </w14:textOutline>
        </w:rPr>
        <w:t xml:space="preserve"> / στις</w:t>
      </w:r>
      <w:r w:rsidRPr="004F67C8">
        <w:rPr>
          <w:rFonts w:ascii="Effra Corp" w:eastAsia="Effra Corp" w:hAnsi="Effra Corp" w:cs="Effra Corp"/>
          <w:i/>
          <w:color w:val="000000"/>
          <w:sz w:val="20"/>
          <w:szCs w:val="20"/>
          <w:bdr w:val="none" w:sz="0" w:space="0" w:color="auto" w:frame="1"/>
          <w:lang w:val="el-GR" w:bidi="el-GR"/>
          <w14:textOutline w14:w="0" w14:cap="flat" w14:cmpd="sng" w14:algn="ctr">
            <w14:noFill/>
            <w14:prstDash w14:val="solid"/>
            <w14:bevel/>
          </w14:textOutline>
        </w:rPr>
        <w:t xml:space="preserve"> συναδέλφους μας, αλλά και σε όλους όσους αντιμετωπίζουν τις συνέπειες τ</w:t>
      </w:r>
      <w:r>
        <w:rPr>
          <w:rFonts w:ascii="Effra Corp" w:eastAsia="Effra Corp" w:hAnsi="Effra Corp" w:cs="Effra Corp"/>
          <w:i/>
          <w:color w:val="000000"/>
          <w:sz w:val="20"/>
          <w:szCs w:val="20"/>
          <w:bdr w:val="none" w:sz="0" w:space="0" w:color="auto" w:frame="1"/>
          <w:lang w:val="el-GR" w:bidi="el-GR"/>
          <w14:textOutline w14:w="0" w14:cap="flat" w14:cmpd="sng" w14:algn="ctr">
            <w14:noFill/>
            <w14:prstDash w14:val="solid"/>
            <w14:bevel/>
          </w14:textOutline>
        </w:rPr>
        <w:t>ης</w:t>
      </w:r>
      <w:r w:rsidRPr="004F67C8">
        <w:rPr>
          <w:rFonts w:ascii="Effra Corp" w:eastAsia="Effra Corp" w:hAnsi="Effra Corp" w:cs="Effra Corp"/>
          <w:i/>
          <w:color w:val="000000"/>
          <w:sz w:val="20"/>
          <w:szCs w:val="20"/>
          <w:bdr w:val="none" w:sz="0" w:space="0" w:color="auto" w:frame="1"/>
          <w:lang w:val="el-GR" w:bidi="el-GR"/>
          <w14:textOutline w14:w="0" w14:cap="flat" w14:cmpd="sng" w14:algn="ctr">
            <w14:noFill/>
            <w14:prstDash w14:val="solid"/>
            <w14:bevel/>
          </w14:textOutline>
        </w:rPr>
        <w:t xml:space="preserve"> </w:t>
      </w:r>
      <w:r>
        <w:rPr>
          <w:rFonts w:ascii="Effra Corp" w:eastAsia="Effra Corp" w:hAnsi="Effra Corp" w:cs="Effra Corp"/>
          <w:i/>
          <w:color w:val="000000"/>
          <w:sz w:val="20"/>
          <w:szCs w:val="20"/>
          <w:bdr w:val="none" w:sz="0" w:space="0" w:color="auto" w:frame="1"/>
          <w:lang w:val="el-GR" w:bidi="el-GR"/>
          <w14:textOutline w14:w="0" w14:cap="flat" w14:cmpd="sng" w14:algn="ctr">
            <w14:noFill/>
            <w14:prstDash w14:val="solid"/>
            <w14:bevel/>
          </w14:textOutline>
        </w:rPr>
        <w:t>σύγκρουσης</w:t>
      </w:r>
      <w:r w:rsidRPr="004F67C8">
        <w:rPr>
          <w:rFonts w:ascii="Effra Corp" w:eastAsia="Effra Corp" w:hAnsi="Effra Corp" w:cs="Effra Corp"/>
          <w:i/>
          <w:color w:val="000000"/>
          <w:sz w:val="20"/>
          <w:szCs w:val="20"/>
          <w:bdr w:val="none" w:sz="0" w:space="0" w:color="auto" w:frame="1"/>
          <w:lang w:val="el-GR" w:bidi="el-GR"/>
          <w14:textOutline w14:w="0" w14:cap="flat" w14:cmpd="sng" w14:algn="ctr">
            <w14:noFill/>
            <w14:prstDash w14:val="solid"/>
            <w14:bevel/>
          </w14:textOutline>
        </w:rPr>
        <w:t xml:space="preserve">. Εξακολουθούμε να θέτουμε σε προτεραιότητα την ασφάλεια των ανθρώπων μας και των οικογενειών τους και να παρέχουμε υλική και οικονομική στήριξη, καθώς και δωρεές σε πρωτοβουλίες ανθρωπιστικής βοήθειας στην περιοχή. </w:t>
      </w:r>
    </w:p>
    <w:p w14:paraId="25704AAA" w14:textId="77777777" w:rsidR="000E12CC" w:rsidRPr="004F67C8" w:rsidRDefault="000E12CC" w:rsidP="000E12CC">
      <w:pPr>
        <w:jc w:val="both"/>
        <w:rPr>
          <w:rFonts w:ascii="Effra Corp" w:hAnsi="Effra Corp"/>
          <w:i/>
          <w:iCs/>
          <w:color w:val="000000"/>
          <w:sz w:val="20"/>
          <w:szCs w:val="20"/>
          <w:bdr w:val="none" w:sz="0" w:space="0" w:color="auto" w:frame="1"/>
          <w:lang w:val="el-GR"/>
          <w14:textOutline w14:w="0" w14:cap="flat" w14:cmpd="sng" w14:algn="ctr">
            <w14:noFill/>
            <w14:prstDash w14:val="solid"/>
            <w14:bevel/>
          </w14:textOutline>
        </w:rPr>
      </w:pPr>
    </w:p>
    <w:p w14:paraId="5FED215D" w14:textId="199049A7" w:rsidR="00587C76" w:rsidRPr="00B40FE3" w:rsidRDefault="000E12CC" w:rsidP="000E12CC">
      <w:pPr>
        <w:jc w:val="both"/>
        <w:rPr>
          <w:rFonts w:ascii="Effra Corp" w:eastAsia="Effra Corp" w:hAnsi="Effra Corp" w:cs="Effra Corp"/>
          <w:i/>
          <w:color w:val="000000"/>
          <w:sz w:val="20"/>
          <w:szCs w:val="20"/>
          <w:bdr w:val="none" w:sz="0" w:space="0" w:color="auto" w:frame="1"/>
          <w:lang w:val="el-GR" w:bidi="el-GR"/>
          <w14:textOutline w14:w="0" w14:cap="flat" w14:cmpd="sng" w14:algn="ctr">
            <w14:noFill/>
            <w14:prstDash w14:val="solid"/>
            <w14:bevel/>
          </w14:textOutline>
        </w:rPr>
      </w:pPr>
      <w:r w:rsidRPr="006C1B45">
        <w:rPr>
          <w:rFonts w:ascii="Effra Corp" w:eastAsia="Effra Corp" w:hAnsi="Effra Corp" w:cs="Effra Corp"/>
          <w:i/>
          <w:color w:val="000000"/>
          <w:sz w:val="20"/>
          <w:szCs w:val="20"/>
          <w:bdr w:val="none" w:sz="0" w:space="0" w:color="auto" w:frame="1"/>
          <w:lang w:val="el-GR" w:bidi="el-GR"/>
          <w14:textOutline w14:w="0" w14:cap="flat" w14:cmpd="sng" w14:algn="ctr">
            <w14:noFill/>
            <w14:prstDash w14:val="solid"/>
            <w14:bevel/>
          </w14:textOutline>
        </w:rPr>
        <w:t>Παράλληλα</w:t>
      </w:r>
      <w:r w:rsidRPr="00CD6C6E">
        <w:rPr>
          <w:rFonts w:ascii="Effra Corp" w:eastAsia="Effra Corp" w:hAnsi="Effra Corp" w:cs="Effra Corp"/>
          <w:i/>
          <w:color w:val="000000"/>
          <w:sz w:val="20"/>
          <w:szCs w:val="20"/>
          <w:bdr w:val="none" w:sz="0" w:space="0" w:color="auto" w:frame="1"/>
          <w:lang w:val="el-GR" w:bidi="el-GR"/>
          <w14:textOutline w14:w="0" w14:cap="flat" w14:cmpd="sng" w14:algn="ctr">
            <w14:noFill/>
            <w14:prstDash w14:val="solid"/>
            <w14:bevel/>
          </w14:textOutline>
        </w:rPr>
        <w:t xml:space="preserve">, οι άνθρωποι της Coca-Cola HBC συνέχισαν να εφαρμόζουν την στρατηγική ανάπτυξης, πετυχαίνοντας </w:t>
      </w:r>
      <w:r w:rsidRPr="00AE7FD1">
        <w:rPr>
          <w:rFonts w:ascii="Effra Corp" w:eastAsia="Effra Corp" w:hAnsi="Effra Corp" w:cs="Effra Corp"/>
          <w:i/>
          <w:color w:val="000000"/>
          <w:sz w:val="20"/>
          <w:szCs w:val="20"/>
          <w:bdr w:val="none" w:sz="0" w:space="0" w:color="auto" w:frame="1"/>
          <w:lang w:val="el-GR" w:bidi="el-GR"/>
          <w14:textOutline w14:w="0" w14:cap="flat" w14:cmpd="sng" w14:algn="ctr">
            <w14:noFill/>
            <w14:prstDash w14:val="solid"/>
            <w14:bevel/>
          </w14:textOutline>
        </w:rPr>
        <w:t>ισχυρή αύξηση εσόδων που είναι καλά ισορροπημένη μεταξύ όγκου πωλήσεων και εσόδων ανά κιβώτιο.</w:t>
      </w:r>
      <w:r w:rsidRPr="006C1B45">
        <w:rPr>
          <w:rFonts w:ascii="Effra Corp" w:eastAsia="Effra Corp" w:hAnsi="Effra Corp" w:cs="Effra Corp"/>
          <w:i/>
          <w:color w:val="000000"/>
          <w:sz w:val="20"/>
          <w:szCs w:val="20"/>
          <w:bdr w:val="none" w:sz="0" w:space="0" w:color="auto" w:frame="1"/>
          <w:lang w:val="el-GR" w:bidi="el-GR"/>
          <w14:textOutline w14:w="0" w14:cap="flat" w14:cmpd="sng" w14:algn="ctr">
            <w14:noFill/>
            <w14:prstDash w14:val="solid"/>
            <w14:bevel/>
          </w14:textOutline>
        </w:rPr>
        <w:t xml:space="preserve"> </w:t>
      </w:r>
    </w:p>
    <w:p w14:paraId="03AE695F" w14:textId="77777777" w:rsidR="009F2EAF" w:rsidRDefault="009F2EAF">
      <w:pPr>
        <w:rPr>
          <w:rFonts w:ascii="Effra Corp" w:eastAsia="Effra Corp" w:hAnsi="Effra Corp" w:cs="Effra Corp"/>
          <w:i/>
          <w:color w:val="000000"/>
          <w:sz w:val="20"/>
          <w:szCs w:val="20"/>
          <w:bdr w:val="none" w:sz="0" w:space="0" w:color="auto" w:frame="1"/>
          <w:lang w:val="el-GR" w:bidi="el-GR"/>
          <w14:textOutline w14:w="0" w14:cap="flat" w14:cmpd="sng" w14:algn="ctr">
            <w14:noFill/>
            <w14:prstDash w14:val="solid"/>
            <w14:bevel/>
          </w14:textOutline>
        </w:rPr>
      </w:pPr>
    </w:p>
    <w:p w14:paraId="667EEDDA" w14:textId="77777777" w:rsidR="009F2EAF" w:rsidRDefault="009F2EAF">
      <w:pPr>
        <w:rPr>
          <w:rFonts w:ascii="Effra Corp" w:eastAsia="Effra Corp" w:hAnsi="Effra Corp" w:cs="Effra Corp"/>
          <w:i/>
          <w:color w:val="000000"/>
          <w:sz w:val="20"/>
          <w:szCs w:val="20"/>
          <w:bdr w:val="none" w:sz="0" w:space="0" w:color="auto" w:frame="1"/>
          <w:lang w:val="el-GR" w:bidi="el-GR"/>
          <w14:textOutline w14:w="0" w14:cap="flat" w14:cmpd="sng" w14:algn="ctr">
            <w14:noFill/>
            <w14:prstDash w14:val="solid"/>
            <w14:bevel/>
          </w14:textOutline>
        </w:rPr>
      </w:pPr>
    </w:p>
    <w:p w14:paraId="3F1EA39F" w14:textId="77777777" w:rsidR="009F2EAF" w:rsidRDefault="009F2EAF">
      <w:pPr>
        <w:rPr>
          <w:rFonts w:ascii="Effra Corp" w:eastAsia="Effra Corp" w:hAnsi="Effra Corp" w:cs="Effra Corp"/>
          <w:i/>
          <w:color w:val="000000"/>
          <w:sz w:val="20"/>
          <w:szCs w:val="20"/>
          <w:bdr w:val="none" w:sz="0" w:space="0" w:color="auto" w:frame="1"/>
          <w:lang w:val="el-GR" w:bidi="el-GR"/>
          <w14:textOutline w14:w="0" w14:cap="flat" w14:cmpd="sng" w14:algn="ctr">
            <w14:noFill/>
            <w14:prstDash w14:val="solid"/>
            <w14:bevel/>
          </w14:textOutline>
        </w:rPr>
      </w:pPr>
    </w:p>
    <w:p w14:paraId="78E89A0D" w14:textId="77777777" w:rsidR="009F2EAF" w:rsidRPr="004F67C8" w:rsidRDefault="009F2EAF" w:rsidP="009F2EAF">
      <w:pPr>
        <w:autoSpaceDE w:val="0"/>
        <w:autoSpaceDN w:val="0"/>
        <w:adjustRightInd w:val="0"/>
        <w:jc w:val="both"/>
        <w:rPr>
          <w:rFonts w:ascii="Effra Corp" w:hAnsi="Effra Corp" w:cs="Arial"/>
          <w:b/>
          <w:bCs/>
          <w:i/>
          <w:iCs/>
          <w:color w:val="C00000"/>
          <w:spacing w:val="-2"/>
          <w:sz w:val="12"/>
          <w:szCs w:val="12"/>
          <w:lang w:val="el-GR"/>
        </w:rPr>
      </w:pPr>
      <w:r w:rsidRPr="004F67C8">
        <w:rPr>
          <w:rFonts w:ascii="Effra Corp" w:eastAsia="Effra Corp" w:hAnsi="Effra Corp" w:cs="CIDFont+F2"/>
          <w:i/>
          <w:sz w:val="12"/>
          <w:szCs w:val="12"/>
          <w:vertAlign w:val="superscript"/>
          <w:lang w:val="el-GR" w:bidi="el-GR"/>
        </w:rPr>
        <w:t>1</w:t>
      </w:r>
      <w:r w:rsidRPr="004F67C8">
        <w:rPr>
          <w:rFonts w:ascii="Effra Corp" w:eastAsia="Effra Corp" w:hAnsi="Effra Corp" w:cs="CIDFont+F2"/>
          <w:i/>
          <w:sz w:val="12"/>
          <w:szCs w:val="12"/>
          <w:lang w:val="el-GR" w:bidi="el-GR"/>
        </w:rPr>
        <w:t xml:space="preserve"> Εφόσον δεν δηλώνεται διαφορετικά, οι επιδόσεις αναφέρονται σε τιμές οργανικής αύξησης. Για λεπτομέρειες επί των Εναλλακτικών δεικτών μέτρησης απόδοσης («ΕΔΜΑ»), ανατρέξτε στις ενότητες «Εναλλακτικοί Δείκτες Μέτρησης Απόδοσης» και «Ορισμοί και συμφωνίες Εναλλακτικών δεικτών μέτρησης απόδοσης» («ΕΔΜΑ»).</w:t>
      </w:r>
    </w:p>
    <w:p w14:paraId="7388E885" w14:textId="0AE67988" w:rsidR="000E12CC" w:rsidRDefault="000E12CC" w:rsidP="000E12CC">
      <w:pPr>
        <w:jc w:val="both"/>
        <w:rPr>
          <w:rFonts w:ascii="Effra Corp" w:eastAsia="Effra Corp" w:hAnsi="Effra Corp" w:cs="Effra Corp"/>
          <w:i/>
          <w:color w:val="000000"/>
          <w:sz w:val="20"/>
          <w:szCs w:val="20"/>
          <w:bdr w:val="none" w:sz="0" w:space="0" w:color="auto" w:frame="1"/>
          <w:lang w:val="el-GR" w:bidi="el-GR"/>
          <w14:textOutline w14:w="0" w14:cap="flat" w14:cmpd="sng" w14:algn="ctr">
            <w14:noFill/>
            <w14:prstDash w14:val="solid"/>
            <w14:bevel/>
          </w14:textOutline>
        </w:rPr>
      </w:pPr>
      <w:r w:rsidRPr="004F67C8">
        <w:rPr>
          <w:rFonts w:ascii="Effra Corp" w:eastAsia="Effra Corp" w:hAnsi="Effra Corp" w:cs="Effra Corp"/>
          <w:i/>
          <w:color w:val="000000"/>
          <w:sz w:val="20"/>
          <w:szCs w:val="20"/>
          <w:bdr w:val="none" w:sz="0" w:space="0" w:color="auto" w:frame="1"/>
          <w:lang w:val="el-GR" w:bidi="el-GR"/>
          <w14:textOutline w14:w="0" w14:cap="flat" w14:cmpd="sng" w14:algn="ctr">
            <w14:noFill/>
            <w14:prstDash w14:val="solid"/>
            <w14:bevel/>
          </w14:textOutline>
        </w:rPr>
        <w:t xml:space="preserve">Το πληθωριστικό περιβάλλον έγινε ακόμα εντονότερο από την τελευταία </w:t>
      </w:r>
      <w:r>
        <w:rPr>
          <w:rFonts w:ascii="Effra Corp" w:eastAsia="Effra Corp" w:hAnsi="Effra Corp" w:cs="Effra Corp"/>
          <w:i/>
          <w:color w:val="000000"/>
          <w:sz w:val="20"/>
          <w:szCs w:val="20"/>
          <w:bdr w:val="none" w:sz="0" w:space="0" w:color="auto" w:frame="1"/>
          <w:lang w:val="el-GR" w:bidi="el-GR"/>
          <w14:textOutline w14:w="0" w14:cap="flat" w14:cmpd="sng" w14:algn="ctr">
            <w14:noFill/>
            <w14:prstDash w14:val="solid"/>
            <w14:bevel/>
          </w14:textOutline>
        </w:rPr>
        <w:t>δημοσίευση των</w:t>
      </w:r>
      <w:r w:rsidRPr="004F67C8">
        <w:rPr>
          <w:rFonts w:ascii="Effra Corp" w:eastAsia="Effra Corp" w:hAnsi="Effra Corp" w:cs="Effra Corp"/>
          <w:i/>
          <w:color w:val="000000"/>
          <w:sz w:val="20"/>
          <w:szCs w:val="20"/>
          <w:bdr w:val="none" w:sz="0" w:space="0" w:color="auto" w:frame="1"/>
          <w:lang w:val="el-GR" w:bidi="el-GR"/>
          <w14:textOutline w14:w="0" w14:cap="flat" w14:cmpd="sng" w14:algn="ctr">
            <w14:noFill/>
            <w14:prstDash w14:val="solid"/>
            <w14:bevel/>
          </w14:textOutline>
        </w:rPr>
        <w:t xml:space="preserve"> αποτελεσμάτων μας. Αυτός είναι ο λόγος που </w:t>
      </w:r>
      <w:r w:rsidR="002F280E">
        <w:rPr>
          <w:rFonts w:ascii="Effra Corp" w:eastAsia="Effra Corp" w:hAnsi="Effra Corp" w:cs="Effra Corp"/>
          <w:i/>
          <w:color w:val="000000"/>
          <w:sz w:val="20"/>
          <w:szCs w:val="20"/>
          <w:bdr w:val="none" w:sz="0" w:space="0" w:color="auto" w:frame="1"/>
          <w:lang w:val="el-GR" w:bidi="el-GR"/>
          <w14:textOutline w14:w="0" w14:cap="flat" w14:cmpd="sng" w14:algn="ctr">
            <w14:noFill/>
            <w14:prstDash w14:val="solid"/>
            <w14:bevel/>
          </w14:textOutline>
        </w:rPr>
        <w:t>είμαι τόσο ικανοποιημένος από την</w:t>
      </w:r>
      <w:r w:rsidR="00AE7FD1">
        <w:rPr>
          <w:rFonts w:ascii="Effra Corp" w:eastAsia="Effra Corp" w:hAnsi="Effra Corp" w:cs="Effra Corp"/>
          <w:i/>
          <w:color w:val="000000"/>
          <w:sz w:val="20"/>
          <w:szCs w:val="20"/>
          <w:bdr w:val="none" w:sz="0" w:space="0" w:color="auto" w:frame="1"/>
          <w:lang w:val="el-GR" w:bidi="el-GR"/>
          <w14:textOutline w14:w="0" w14:cap="flat" w14:cmpd="sng" w14:algn="ctr">
            <w14:noFill/>
            <w14:prstDash w14:val="solid"/>
            <w14:bevel/>
          </w14:textOutline>
        </w:rPr>
        <w:t xml:space="preserve"> </w:t>
      </w:r>
      <w:r w:rsidRPr="004F67C8">
        <w:rPr>
          <w:rFonts w:ascii="Effra Corp" w:eastAsia="Effra Corp" w:hAnsi="Effra Corp" w:cs="Effra Corp"/>
          <w:i/>
          <w:color w:val="000000"/>
          <w:sz w:val="20"/>
          <w:szCs w:val="20"/>
          <w:bdr w:val="none" w:sz="0" w:space="0" w:color="auto" w:frame="1"/>
          <w:lang w:val="el-GR" w:bidi="el-GR"/>
          <w14:textOutline w14:w="0" w14:cap="flat" w14:cmpd="sng" w14:algn="ctr">
            <w14:noFill/>
            <w14:prstDash w14:val="solid"/>
            <w14:bevel/>
          </w14:textOutline>
        </w:rPr>
        <w:t xml:space="preserve">αποτελεσματική αξιοποίηση των δυνατοτήτων μας στη διαχείριση </w:t>
      </w:r>
      <w:r w:rsidRPr="004F67C8">
        <w:rPr>
          <w:rFonts w:ascii="Effra Corp" w:eastAsia="Effra Corp" w:hAnsi="Effra Corp" w:cs="Effra Corp"/>
          <w:i/>
          <w:color w:val="000000"/>
          <w:sz w:val="20"/>
          <w:szCs w:val="20"/>
          <w:bdr w:val="none" w:sz="0" w:space="0" w:color="auto" w:frame="1"/>
          <w:lang w:val="el-GR" w:bidi="el-GR"/>
          <w14:textOutline w14:w="0" w14:cap="flat" w14:cmpd="sng" w14:algn="ctr">
            <w14:noFill/>
            <w14:prstDash w14:val="solid"/>
            <w14:bevel/>
          </w14:textOutline>
        </w:rPr>
        <w:lastRenderedPageBreak/>
        <w:t xml:space="preserve">της αύξησης των καθαρών εσόδων, συμπεριλαμβανομένης της τιμολογιακής πολιτικής, όπως αποτυπώνεται στα αποτελέσματά μας. Υπάρχουν πολλά ακόμα σημαντικά γεγονότα αυτό το τρίμηνο, όπως η </w:t>
      </w:r>
      <w:r w:rsidR="00022FD6">
        <w:rPr>
          <w:rFonts w:ascii="Effra Corp" w:eastAsia="Effra Corp" w:hAnsi="Effra Corp" w:cs="Effra Corp"/>
          <w:i/>
          <w:color w:val="000000"/>
          <w:sz w:val="20"/>
          <w:szCs w:val="20"/>
          <w:bdr w:val="none" w:sz="0" w:space="0" w:color="auto" w:frame="1"/>
          <w:lang w:val="el-GR" w:bidi="el-GR"/>
          <w14:textOutline w14:w="0" w14:cap="flat" w14:cmpd="sng" w14:algn="ctr">
            <w14:noFill/>
            <w14:prstDash w14:val="solid"/>
            <w14:bevel/>
          </w14:textOutline>
        </w:rPr>
        <w:t>ενσωμάτωση</w:t>
      </w:r>
      <w:r w:rsidRPr="004F67C8">
        <w:rPr>
          <w:rFonts w:ascii="Effra Corp" w:eastAsia="Effra Corp" w:hAnsi="Effra Corp" w:cs="Effra Corp"/>
          <w:i/>
          <w:color w:val="000000"/>
          <w:sz w:val="20"/>
          <w:szCs w:val="20"/>
          <w:bdr w:val="none" w:sz="0" w:space="0" w:color="auto" w:frame="1"/>
          <w:lang w:val="el-GR" w:bidi="el-GR"/>
          <w14:textOutline w14:w="0" w14:cap="flat" w14:cmpd="sng" w14:algn="ctr">
            <w14:noFill/>
            <w14:prstDash w14:val="solid"/>
            <w14:bevel/>
          </w14:textOutline>
        </w:rPr>
        <w:t xml:space="preserve"> της Αιγύπτου στον Όμιλο, οι συνεχιζόμενες ισχυρές επιδόσεις των κατηγοριών ανθρακούχων αναψυκτικών και ποτών ενέργειας, και βεβαίως οι εξαιρετικές επιδόσεις </w:t>
      </w:r>
      <w:r w:rsidR="000A5838">
        <w:rPr>
          <w:rFonts w:ascii="Effra Corp" w:eastAsia="Effra Corp" w:hAnsi="Effra Corp" w:cs="Effra Corp"/>
          <w:i/>
          <w:color w:val="000000"/>
          <w:sz w:val="20"/>
          <w:szCs w:val="20"/>
          <w:bdr w:val="none" w:sz="0" w:space="0" w:color="auto" w:frame="1"/>
          <w:lang w:val="el-GR" w:bidi="el-GR"/>
          <w14:textOutline w14:w="0" w14:cap="flat" w14:cmpd="sng" w14:algn="ctr">
            <w14:noFill/>
            <w14:prstDash w14:val="solid"/>
            <w14:bevel/>
          </w14:textOutline>
        </w:rPr>
        <w:t>σε σχέση με το</w:t>
      </w:r>
      <w:r w:rsidRPr="004F67C8">
        <w:rPr>
          <w:rFonts w:ascii="Effra Corp" w:eastAsia="Effra Corp" w:hAnsi="Effra Corp" w:cs="Effra Corp"/>
          <w:i/>
          <w:color w:val="000000"/>
          <w:sz w:val="20"/>
          <w:szCs w:val="20"/>
          <w:bdr w:val="none" w:sz="0" w:space="0" w:color="auto" w:frame="1"/>
          <w:lang w:val="el-GR" w:bidi="el-GR"/>
          <w14:textOutline w14:w="0" w14:cap="flat" w14:cmpd="sng" w14:algn="ctr">
            <w14:noFill/>
            <w14:prstDash w14:val="solid"/>
            <w14:bevel/>
          </w14:textOutline>
        </w:rPr>
        <w:t xml:space="preserve"> μερίδιο αγοράς</w:t>
      </w:r>
      <w:r w:rsidR="000A5838">
        <w:rPr>
          <w:rFonts w:ascii="Effra Corp" w:eastAsia="Effra Corp" w:hAnsi="Effra Corp" w:cs="Effra Corp"/>
          <w:i/>
          <w:color w:val="000000"/>
          <w:sz w:val="20"/>
          <w:szCs w:val="20"/>
          <w:bdr w:val="none" w:sz="0" w:space="0" w:color="auto" w:frame="1"/>
          <w:lang w:val="el-GR" w:bidi="el-GR"/>
          <w14:textOutline w14:w="0" w14:cap="flat" w14:cmpd="sng" w14:algn="ctr">
            <w14:noFill/>
            <w14:prstDash w14:val="solid"/>
            <w14:bevel/>
          </w14:textOutline>
        </w:rPr>
        <w:t xml:space="preserve"> μας</w:t>
      </w:r>
      <w:r w:rsidRPr="004F67C8">
        <w:rPr>
          <w:rFonts w:ascii="Effra Corp" w:eastAsia="Effra Corp" w:hAnsi="Effra Corp" w:cs="Effra Corp"/>
          <w:i/>
          <w:color w:val="000000"/>
          <w:sz w:val="20"/>
          <w:szCs w:val="20"/>
          <w:bdr w:val="none" w:sz="0" w:space="0" w:color="auto" w:frame="1"/>
          <w:lang w:val="el-GR" w:bidi="el-GR"/>
          <w14:textOutline w14:w="0" w14:cap="flat" w14:cmpd="sng" w14:algn="ctr">
            <w14:noFill/>
            <w14:prstDash w14:val="solid"/>
            <w14:bevel/>
          </w14:textOutline>
        </w:rPr>
        <w:t xml:space="preserve">, </w:t>
      </w:r>
      <w:r>
        <w:rPr>
          <w:rFonts w:ascii="Effra Corp" w:eastAsia="Effra Corp" w:hAnsi="Effra Corp" w:cs="Effra Corp"/>
          <w:i/>
          <w:color w:val="000000"/>
          <w:sz w:val="20"/>
          <w:szCs w:val="20"/>
          <w:bdr w:val="none" w:sz="0" w:space="0" w:color="auto" w:frame="1"/>
          <w:lang w:val="el-GR" w:bidi="el-GR"/>
          <w14:textOutline w14:w="0" w14:cap="flat" w14:cmpd="sng" w14:algn="ctr">
            <w14:noFill/>
            <w14:prstDash w14:val="solid"/>
            <w14:bevel/>
          </w14:textOutline>
        </w:rPr>
        <w:t xml:space="preserve">οι οποίες </w:t>
      </w:r>
      <w:proofErr w:type="spellStart"/>
      <w:r>
        <w:rPr>
          <w:rFonts w:ascii="Effra Corp" w:eastAsia="Effra Corp" w:hAnsi="Effra Corp" w:cs="Effra Corp"/>
          <w:i/>
          <w:color w:val="000000"/>
          <w:sz w:val="20"/>
          <w:szCs w:val="20"/>
          <w:bdr w:val="none" w:sz="0" w:space="0" w:color="auto" w:frame="1"/>
          <w:lang w:val="el-GR" w:bidi="el-GR"/>
          <w14:textOutline w14:w="0" w14:cap="flat" w14:cmpd="sng" w14:algn="ctr">
            <w14:noFill/>
            <w14:prstDash w14:val="solid"/>
            <w14:bevel/>
          </w14:textOutline>
        </w:rPr>
        <w:t>συνεχίσαν</w:t>
      </w:r>
      <w:proofErr w:type="spellEnd"/>
      <w:r>
        <w:rPr>
          <w:rFonts w:ascii="Effra Corp" w:eastAsia="Effra Corp" w:hAnsi="Effra Corp" w:cs="Effra Corp"/>
          <w:i/>
          <w:color w:val="000000"/>
          <w:sz w:val="20"/>
          <w:szCs w:val="20"/>
          <w:bdr w:val="none" w:sz="0" w:space="0" w:color="auto" w:frame="1"/>
          <w:lang w:val="el-GR" w:bidi="el-GR"/>
          <w14:textOutline w14:w="0" w14:cap="flat" w14:cmpd="sng" w14:algn="ctr">
            <w14:noFill/>
            <w14:prstDash w14:val="solid"/>
            <w14:bevel/>
          </w14:textOutline>
        </w:rPr>
        <w:t xml:space="preserve"> να επιταχύνονται στο </w:t>
      </w:r>
      <w:r w:rsidRPr="004F67C8">
        <w:rPr>
          <w:rFonts w:ascii="Effra Corp" w:eastAsia="Effra Corp" w:hAnsi="Effra Corp" w:cs="Effra Corp"/>
          <w:i/>
          <w:color w:val="000000"/>
          <w:sz w:val="20"/>
          <w:szCs w:val="20"/>
          <w:bdr w:val="none" w:sz="0" w:space="0" w:color="auto" w:frame="1"/>
          <w:lang w:val="el-GR" w:bidi="el-GR"/>
          <w14:textOutline w14:w="0" w14:cap="flat" w14:cmpd="sng" w14:algn="ctr">
            <w14:noFill/>
            <w14:prstDash w14:val="solid"/>
            <w14:bevel/>
          </w14:textOutline>
        </w:rPr>
        <w:t xml:space="preserve">πρώτο τρίμηνο.  </w:t>
      </w:r>
    </w:p>
    <w:p w14:paraId="664D38D7" w14:textId="77777777" w:rsidR="000E12CC" w:rsidRDefault="000E12CC" w:rsidP="000E12CC">
      <w:pPr>
        <w:jc w:val="both"/>
        <w:rPr>
          <w:rFonts w:ascii="Effra Corp" w:eastAsia="Effra Corp" w:hAnsi="Effra Corp" w:cs="Effra Corp"/>
          <w:i/>
          <w:color w:val="000000"/>
          <w:sz w:val="20"/>
          <w:szCs w:val="20"/>
          <w:bdr w:val="none" w:sz="0" w:space="0" w:color="auto" w:frame="1"/>
          <w:lang w:val="el-GR" w:bidi="el-GR"/>
          <w14:textOutline w14:w="0" w14:cap="flat" w14:cmpd="sng" w14:algn="ctr">
            <w14:noFill/>
            <w14:prstDash w14:val="solid"/>
            <w14:bevel/>
          </w14:textOutline>
        </w:rPr>
      </w:pPr>
    </w:p>
    <w:p w14:paraId="3B8A7A21" w14:textId="7C862582" w:rsidR="000E12CC" w:rsidRPr="003F5EB9" w:rsidRDefault="000E12CC" w:rsidP="000E12CC">
      <w:pPr>
        <w:jc w:val="both"/>
        <w:rPr>
          <w:rFonts w:ascii="Effra Corp" w:hAnsi="Effra Corp"/>
          <w:i/>
          <w:iCs/>
          <w:color w:val="000000"/>
          <w:sz w:val="20"/>
          <w:szCs w:val="20"/>
          <w:bdr w:val="none" w:sz="0" w:space="0" w:color="auto" w:frame="1"/>
          <w:lang w:val="el-GR"/>
          <w14:textOutline w14:w="0" w14:cap="flat" w14:cmpd="sng" w14:algn="ctr">
            <w14:noFill/>
            <w14:prstDash w14:val="solid"/>
            <w14:bevel/>
          </w14:textOutline>
        </w:rPr>
      </w:pPr>
      <w:r>
        <w:rPr>
          <w:rFonts w:ascii="Effra Corp" w:hAnsi="Effra Corp"/>
          <w:i/>
          <w:iCs/>
          <w:color w:val="000000"/>
          <w:sz w:val="20"/>
          <w:szCs w:val="20"/>
          <w:bdr w:val="none" w:sz="0" w:space="0" w:color="auto" w:frame="1"/>
          <w:lang w:val="el-GR"/>
          <w14:textOutline w14:w="0" w14:cap="flat" w14:cmpd="sng" w14:algn="ctr">
            <w14:noFill/>
            <w14:prstDash w14:val="solid"/>
            <w14:bevel/>
          </w14:textOutline>
        </w:rPr>
        <w:t xml:space="preserve">Έχουμε </w:t>
      </w:r>
      <w:r w:rsidR="007D1A0D">
        <w:rPr>
          <w:rFonts w:ascii="Effra Corp" w:hAnsi="Effra Corp"/>
          <w:i/>
          <w:iCs/>
          <w:color w:val="000000"/>
          <w:sz w:val="20"/>
          <w:szCs w:val="20"/>
          <w:bdr w:val="none" w:sz="0" w:space="0" w:color="auto" w:frame="1"/>
          <w:lang w:val="el-GR"/>
          <w14:textOutline w14:w="0" w14:cap="flat" w14:cmpd="sng" w14:algn="ctr">
            <w14:noFill/>
            <w14:prstDash w14:val="solid"/>
            <w14:bevel/>
          </w14:textOutline>
        </w:rPr>
        <w:t xml:space="preserve">υψηλή </w:t>
      </w:r>
      <w:r>
        <w:rPr>
          <w:rFonts w:ascii="Effra Corp" w:hAnsi="Effra Corp"/>
          <w:i/>
          <w:iCs/>
          <w:color w:val="000000"/>
          <w:sz w:val="20"/>
          <w:szCs w:val="20"/>
          <w:bdr w:val="none" w:sz="0" w:space="0" w:color="auto" w:frame="1"/>
          <w:lang w:val="el-GR"/>
          <w14:textOutline w14:w="0" w14:cap="flat" w14:cmpd="sng" w14:algn="ctr">
            <w14:noFill/>
            <w14:prstDash w14:val="solid"/>
            <w14:bevel/>
          </w14:textOutline>
        </w:rPr>
        <w:t>εμπιστοσύνη στο χαρ</w:t>
      </w:r>
      <w:r w:rsidR="007D1A0D">
        <w:rPr>
          <w:rFonts w:ascii="Effra Corp" w:hAnsi="Effra Corp"/>
          <w:i/>
          <w:iCs/>
          <w:color w:val="000000"/>
          <w:sz w:val="20"/>
          <w:szCs w:val="20"/>
          <w:bdr w:val="none" w:sz="0" w:space="0" w:color="auto" w:frame="1"/>
          <w:lang w:val="el-GR"/>
          <w14:textOutline w14:w="0" w14:cap="flat" w14:cmpd="sng" w14:algn="ctr">
            <w14:noFill/>
            <w14:prstDash w14:val="solid"/>
            <w14:bevel/>
          </w14:textOutline>
        </w:rPr>
        <w:t>τ</w:t>
      </w:r>
      <w:r>
        <w:rPr>
          <w:rFonts w:ascii="Effra Corp" w:hAnsi="Effra Corp"/>
          <w:i/>
          <w:iCs/>
          <w:color w:val="000000"/>
          <w:sz w:val="20"/>
          <w:szCs w:val="20"/>
          <w:bdr w:val="none" w:sz="0" w:space="0" w:color="auto" w:frame="1"/>
          <w:lang w:val="el-GR"/>
          <w14:textOutline w14:w="0" w14:cap="flat" w14:cmpd="sng" w14:algn="ctr">
            <w14:noFill/>
            <w14:prstDash w14:val="solid"/>
            <w14:bevel/>
          </w14:textOutline>
        </w:rPr>
        <w:t>οφυλάκιο προϊόντων μας,</w:t>
      </w:r>
      <w:r w:rsidRPr="00AE0133">
        <w:rPr>
          <w:rFonts w:ascii="Effra Corp" w:hAnsi="Effra Corp"/>
          <w:i/>
          <w:iCs/>
          <w:color w:val="000000"/>
          <w:sz w:val="20"/>
          <w:szCs w:val="20"/>
          <w:bdr w:val="none" w:sz="0" w:space="0" w:color="auto" w:frame="1"/>
          <w:lang w:val="el-GR"/>
          <w14:textOutline w14:w="0" w14:cap="flat" w14:cmpd="sng" w14:algn="ctr">
            <w14:noFill/>
            <w14:prstDash w14:val="solid"/>
            <w14:bevel/>
          </w14:textOutline>
        </w:rPr>
        <w:t xml:space="preserve"> </w:t>
      </w:r>
      <w:r>
        <w:rPr>
          <w:rFonts w:ascii="Effra Corp" w:hAnsi="Effra Corp"/>
          <w:i/>
          <w:iCs/>
          <w:color w:val="000000"/>
          <w:sz w:val="20"/>
          <w:szCs w:val="20"/>
          <w:bdr w:val="none" w:sz="0" w:space="0" w:color="auto" w:frame="1"/>
          <w:lang w:val="el-GR"/>
          <w14:textOutline w14:w="0" w14:cap="flat" w14:cmpd="sng" w14:algn="ctr">
            <w14:noFill/>
            <w14:prstDash w14:val="solid"/>
            <w14:bevel/>
          </w14:textOutline>
        </w:rPr>
        <w:t>στη</w:t>
      </w:r>
      <w:r w:rsidR="002A2DD6">
        <w:rPr>
          <w:rFonts w:ascii="Effra Corp" w:hAnsi="Effra Corp"/>
          <w:i/>
          <w:iCs/>
          <w:color w:val="000000"/>
          <w:sz w:val="20"/>
          <w:szCs w:val="20"/>
          <w:bdr w:val="none" w:sz="0" w:space="0" w:color="auto" w:frame="1"/>
          <w:lang w:val="el-GR"/>
          <w14:textOutline w14:w="0" w14:cap="flat" w14:cmpd="sng" w14:algn="ctr">
            <w14:noFill/>
            <w14:prstDash w14:val="solid"/>
            <w14:bevel/>
          </w14:textOutline>
        </w:rPr>
        <w:t>ν εξελισσόμενη</w:t>
      </w:r>
      <w:r>
        <w:rPr>
          <w:rFonts w:ascii="Effra Corp" w:hAnsi="Effra Corp"/>
          <w:i/>
          <w:iCs/>
          <w:color w:val="000000"/>
          <w:sz w:val="20"/>
          <w:szCs w:val="20"/>
          <w:bdr w:val="none" w:sz="0" w:space="0" w:color="auto" w:frame="1"/>
          <w:lang w:val="el-GR"/>
          <w14:textOutline w14:w="0" w14:cap="flat" w14:cmpd="sng" w14:algn="ctr">
            <w14:noFill/>
            <w14:prstDash w14:val="solid"/>
            <w14:bevel/>
          </w14:textOutline>
        </w:rPr>
        <w:t xml:space="preserve"> στρατηγική </w:t>
      </w:r>
      <w:r w:rsidR="007D1A0D">
        <w:rPr>
          <w:rFonts w:ascii="Effra Corp" w:hAnsi="Effra Corp"/>
          <w:i/>
          <w:iCs/>
          <w:color w:val="000000"/>
          <w:sz w:val="20"/>
          <w:szCs w:val="20"/>
          <w:bdr w:val="none" w:sz="0" w:space="0" w:color="auto" w:frame="1"/>
          <w:lang w:val="el-GR"/>
          <w14:textOutline w14:w="0" w14:cap="flat" w14:cmpd="sng" w14:algn="ctr">
            <w14:noFill/>
            <w14:prstDash w14:val="solid"/>
            <w14:bevel/>
          </w14:textOutline>
        </w:rPr>
        <w:t xml:space="preserve">μας </w:t>
      </w:r>
      <w:r>
        <w:rPr>
          <w:rFonts w:ascii="Effra Corp" w:hAnsi="Effra Corp"/>
          <w:i/>
          <w:iCs/>
          <w:color w:val="000000"/>
          <w:sz w:val="20"/>
          <w:szCs w:val="20"/>
          <w:bdr w:val="none" w:sz="0" w:space="0" w:color="auto" w:frame="1"/>
          <w:lang w:val="el-GR"/>
          <w14:textOutline w14:w="0" w14:cap="flat" w14:cmpd="sng" w14:algn="ctr">
            <w14:noFill/>
            <w14:prstDash w14:val="solid"/>
            <w14:bevel/>
          </w14:textOutline>
        </w:rPr>
        <w:t xml:space="preserve">διείσδυσης στην αγορά, στην </w:t>
      </w:r>
      <w:proofErr w:type="spellStart"/>
      <w:r w:rsidR="002A2DD6">
        <w:rPr>
          <w:rFonts w:ascii="Effra Corp" w:hAnsi="Effra Corp"/>
          <w:i/>
          <w:iCs/>
          <w:color w:val="000000"/>
          <w:sz w:val="20"/>
          <w:szCs w:val="20"/>
          <w:bdr w:val="none" w:sz="0" w:space="0" w:color="auto" w:frame="1"/>
          <w:lang w:val="el-GR"/>
          <w14:textOutline w14:w="0" w14:cap="flat" w14:cmpd="sng" w14:algn="ctr">
            <w14:noFill/>
            <w14:prstDash w14:val="solid"/>
            <w14:bevel/>
          </w14:textOutline>
        </w:rPr>
        <w:t>πελατοκεντρική</w:t>
      </w:r>
      <w:proofErr w:type="spellEnd"/>
      <w:r w:rsidR="002A2DD6">
        <w:rPr>
          <w:rFonts w:ascii="Effra Corp" w:hAnsi="Effra Corp"/>
          <w:i/>
          <w:iCs/>
          <w:color w:val="000000"/>
          <w:sz w:val="20"/>
          <w:szCs w:val="20"/>
          <w:bdr w:val="none" w:sz="0" w:space="0" w:color="auto" w:frame="1"/>
          <w:lang w:val="el-GR"/>
          <w14:textOutline w14:w="0" w14:cap="flat" w14:cmpd="sng" w14:algn="ctr">
            <w14:noFill/>
            <w14:prstDash w14:val="solid"/>
            <w14:bevel/>
          </w14:textOutline>
        </w:rPr>
        <w:t xml:space="preserve"> </w:t>
      </w:r>
      <w:r>
        <w:rPr>
          <w:rFonts w:ascii="Effra Corp" w:hAnsi="Effra Corp"/>
          <w:i/>
          <w:iCs/>
          <w:color w:val="000000"/>
          <w:sz w:val="20"/>
          <w:szCs w:val="20"/>
          <w:bdr w:val="none" w:sz="0" w:space="0" w:color="auto" w:frame="1"/>
          <w:lang w:val="el-GR"/>
          <w14:textOutline w14:w="0" w14:cap="flat" w14:cmpd="sng" w14:algn="ctr">
            <w14:noFill/>
            <w14:prstDash w14:val="solid"/>
            <w14:bevel/>
          </w14:textOutline>
        </w:rPr>
        <w:t xml:space="preserve">εμπορική </w:t>
      </w:r>
      <w:r w:rsidR="007D1A0D">
        <w:rPr>
          <w:rFonts w:ascii="Effra Corp" w:hAnsi="Effra Corp"/>
          <w:i/>
          <w:iCs/>
          <w:color w:val="000000"/>
          <w:sz w:val="20"/>
          <w:szCs w:val="20"/>
          <w:bdr w:val="none" w:sz="0" w:space="0" w:color="auto" w:frame="1"/>
          <w:lang w:val="el-GR"/>
          <w14:textOutline w14:w="0" w14:cap="flat" w14:cmpd="sng" w14:algn="ctr">
            <w14:noFill/>
            <w14:prstDash w14:val="solid"/>
            <w14:bevel/>
          </w14:textOutline>
        </w:rPr>
        <w:t xml:space="preserve">μας </w:t>
      </w:r>
      <w:r>
        <w:rPr>
          <w:rFonts w:ascii="Effra Corp" w:hAnsi="Effra Corp"/>
          <w:i/>
          <w:iCs/>
          <w:color w:val="000000"/>
          <w:sz w:val="20"/>
          <w:szCs w:val="20"/>
          <w:bdr w:val="none" w:sz="0" w:space="0" w:color="auto" w:frame="1"/>
          <w:lang w:val="el-GR"/>
          <w14:textOutline w14:w="0" w14:cap="flat" w14:cmpd="sng" w14:algn="ctr">
            <w14:noFill/>
            <w14:prstDash w14:val="solid"/>
            <w14:bevel/>
          </w14:textOutline>
        </w:rPr>
        <w:t>στρατηγική</w:t>
      </w:r>
      <w:r w:rsidR="002A2DD6">
        <w:rPr>
          <w:rFonts w:ascii="Effra Corp" w:hAnsi="Effra Corp"/>
          <w:i/>
          <w:iCs/>
          <w:color w:val="000000"/>
          <w:sz w:val="20"/>
          <w:szCs w:val="20"/>
          <w:bdr w:val="none" w:sz="0" w:space="0" w:color="auto" w:frame="1"/>
          <w:lang w:val="el-GR"/>
          <w14:textOutline w14:w="0" w14:cap="flat" w14:cmpd="sng" w14:algn="ctr">
            <w14:noFill/>
            <w14:prstDash w14:val="solid"/>
            <w14:bevel/>
          </w14:textOutline>
        </w:rPr>
        <w:t xml:space="preserve">, </w:t>
      </w:r>
      <w:r>
        <w:rPr>
          <w:rFonts w:ascii="Effra Corp" w:hAnsi="Effra Corp"/>
          <w:i/>
          <w:iCs/>
          <w:color w:val="000000"/>
          <w:sz w:val="20"/>
          <w:szCs w:val="20"/>
          <w:bdr w:val="none" w:sz="0" w:space="0" w:color="auto" w:frame="1"/>
          <w:lang w:val="el-GR"/>
          <w14:textOutline w14:w="0" w14:cap="flat" w14:cmpd="sng" w14:algn="ctr">
            <w14:noFill/>
            <w14:prstDash w14:val="solid"/>
            <w14:bevel/>
          </w14:textOutline>
        </w:rPr>
        <w:t>τις προοπτικές των διαφορετικών αγορών μας</w:t>
      </w:r>
      <w:r w:rsidR="002A2DD6">
        <w:rPr>
          <w:rFonts w:ascii="Effra Corp" w:hAnsi="Effra Corp"/>
          <w:i/>
          <w:iCs/>
          <w:color w:val="000000"/>
          <w:sz w:val="20"/>
          <w:szCs w:val="20"/>
          <w:bdr w:val="none" w:sz="0" w:space="0" w:color="auto" w:frame="1"/>
          <w:lang w:val="el-GR"/>
          <w14:textOutline w14:w="0" w14:cap="flat" w14:cmpd="sng" w14:algn="ctr">
            <w14:noFill/>
            <w14:prstDash w14:val="solid"/>
            <w14:bevel/>
          </w14:textOutline>
        </w:rPr>
        <w:t>, και πάνω από όλα, στις ικανότητες των ανθρώπων μας</w:t>
      </w:r>
      <w:r>
        <w:rPr>
          <w:rFonts w:ascii="Effra Corp" w:hAnsi="Effra Corp"/>
          <w:i/>
          <w:iCs/>
          <w:color w:val="000000"/>
          <w:sz w:val="20"/>
          <w:szCs w:val="20"/>
          <w:bdr w:val="none" w:sz="0" w:space="0" w:color="auto" w:frame="1"/>
          <w:lang w:val="el-GR"/>
          <w14:textOutline w14:w="0" w14:cap="flat" w14:cmpd="sng" w14:algn="ctr">
            <w14:noFill/>
            <w14:prstDash w14:val="solid"/>
            <w14:bevel/>
          </w14:textOutline>
        </w:rPr>
        <w:t xml:space="preserve">. Παραμένουμε ευέλικτοι, </w:t>
      </w:r>
      <w:r w:rsidR="002A2DD6">
        <w:rPr>
          <w:rFonts w:ascii="Effra Corp" w:hAnsi="Effra Corp"/>
          <w:i/>
          <w:iCs/>
          <w:color w:val="000000"/>
          <w:sz w:val="20"/>
          <w:szCs w:val="20"/>
          <w:bdr w:val="none" w:sz="0" w:space="0" w:color="auto" w:frame="1"/>
          <w:lang w:val="el-GR"/>
          <w14:textOutline w14:w="0" w14:cap="flat" w14:cmpd="sng" w14:algn="ctr">
            <w14:noFill/>
            <w14:prstDash w14:val="solid"/>
            <w14:bevel/>
          </w14:textOutline>
        </w:rPr>
        <w:t>καθώς πειθαρχημένα</w:t>
      </w:r>
      <w:r w:rsidR="00982C5C">
        <w:rPr>
          <w:rFonts w:ascii="Effra Corp" w:hAnsi="Effra Corp"/>
          <w:i/>
          <w:iCs/>
          <w:color w:val="000000"/>
          <w:sz w:val="20"/>
          <w:szCs w:val="20"/>
          <w:bdr w:val="none" w:sz="0" w:space="0" w:color="auto" w:frame="1"/>
          <w:lang w:val="el-GR"/>
          <w14:textOutline w14:w="0" w14:cap="flat" w14:cmpd="sng" w14:algn="ctr">
            <w14:noFill/>
            <w14:prstDash w14:val="solid"/>
            <w14:bevel/>
          </w14:textOutline>
        </w:rPr>
        <w:t>,</w:t>
      </w:r>
      <w:r w:rsidR="002A2DD6">
        <w:rPr>
          <w:rFonts w:ascii="Effra Corp" w:hAnsi="Effra Corp"/>
          <w:i/>
          <w:iCs/>
          <w:color w:val="000000"/>
          <w:sz w:val="20"/>
          <w:szCs w:val="20"/>
          <w:bdr w:val="none" w:sz="0" w:space="0" w:color="auto" w:frame="1"/>
          <w:lang w:val="el-GR"/>
          <w14:textOutline w14:w="0" w14:cap="flat" w14:cmpd="sng" w14:algn="ctr">
            <w14:noFill/>
            <w14:prstDash w14:val="solid"/>
            <w14:bevel/>
          </w14:textOutline>
        </w:rPr>
        <w:t xml:space="preserve"> δίνουμε προτεραιότητα στ</w:t>
      </w:r>
      <w:r>
        <w:rPr>
          <w:rFonts w:ascii="Effra Corp" w:hAnsi="Effra Corp"/>
          <w:i/>
          <w:iCs/>
          <w:color w:val="000000"/>
          <w:sz w:val="20"/>
          <w:szCs w:val="20"/>
          <w:bdr w:val="none" w:sz="0" w:space="0" w:color="auto" w:frame="1"/>
          <w:lang w:val="el-GR"/>
          <w14:textOutline w14:w="0" w14:cap="flat" w14:cmpd="sng" w14:algn="ctr">
            <w14:noFill/>
            <w14:prstDash w14:val="solid"/>
            <w14:bevel/>
          </w14:textOutline>
        </w:rPr>
        <w:t xml:space="preserve">ις επενδύσεις μας </w:t>
      </w:r>
      <w:r w:rsidR="002A2DD6">
        <w:rPr>
          <w:rFonts w:ascii="Effra Corp" w:hAnsi="Effra Corp"/>
          <w:i/>
          <w:iCs/>
          <w:color w:val="000000"/>
          <w:sz w:val="20"/>
          <w:szCs w:val="20"/>
          <w:bdr w:val="none" w:sz="0" w:space="0" w:color="auto" w:frame="1"/>
          <w:lang w:val="el-GR"/>
          <w14:textOutline w14:w="0" w14:cap="flat" w14:cmpd="sng" w14:algn="ctr">
            <w14:noFill/>
            <w14:prstDash w14:val="solid"/>
            <w14:bevel/>
          </w14:textOutline>
        </w:rPr>
        <w:t xml:space="preserve">στις υπόλοιπες αγορές μας, </w:t>
      </w:r>
      <w:r>
        <w:rPr>
          <w:rFonts w:ascii="Effra Corp" w:hAnsi="Effra Corp"/>
          <w:i/>
          <w:iCs/>
          <w:color w:val="000000"/>
          <w:sz w:val="20"/>
          <w:szCs w:val="20"/>
          <w:bdr w:val="none" w:sz="0" w:space="0" w:color="auto" w:frame="1"/>
          <w:lang w:val="el-GR"/>
          <w14:textOutline w14:w="0" w14:cap="flat" w14:cmpd="sng" w14:algn="ctr">
            <w14:noFill/>
            <w14:prstDash w14:val="solid"/>
            <w14:bevel/>
          </w14:textOutline>
        </w:rPr>
        <w:t>ώστε να συνεχίσουν να δημιουργούν μια βιώσιμη ανάπτυξη παρά το ασταθές περιβάλλον.»</w:t>
      </w:r>
    </w:p>
    <w:p w14:paraId="0D04C74C" w14:textId="77777777" w:rsidR="000E12CC" w:rsidRPr="000978E8" w:rsidRDefault="000E12CC" w:rsidP="004169A0">
      <w:pPr>
        <w:pStyle w:val="Footer"/>
        <w:tabs>
          <w:tab w:val="clear" w:pos="4320"/>
          <w:tab w:val="clear" w:pos="8640"/>
        </w:tabs>
        <w:spacing w:after="120"/>
        <w:rPr>
          <w:rFonts w:ascii="Effra Corp" w:eastAsia="Effra Corp" w:hAnsi="Effra Corp" w:cs="Arial"/>
          <w:b/>
          <w:color w:val="FF0000"/>
          <w:spacing w:val="-2"/>
          <w:sz w:val="20"/>
          <w:szCs w:val="20"/>
          <w:lang w:val="el-GR" w:bidi="el-GR"/>
        </w:rPr>
      </w:pPr>
    </w:p>
    <w:p w14:paraId="141DE63A" w14:textId="394E544C" w:rsidR="004169A0" w:rsidRPr="000978E8" w:rsidRDefault="004169A0" w:rsidP="004169A0">
      <w:pPr>
        <w:pStyle w:val="Footer"/>
        <w:tabs>
          <w:tab w:val="clear" w:pos="4320"/>
          <w:tab w:val="clear" w:pos="8640"/>
        </w:tabs>
        <w:spacing w:after="120"/>
        <w:rPr>
          <w:rFonts w:ascii="Effra Corp" w:hAnsi="Effra Corp" w:cs="Arial"/>
          <w:b/>
          <w:bCs/>
          <w:color w:val="FF0000"/>
          <w:spacing w:val="-2"/>
          <w:sz w:val="20"/>
          <w:szCs w:val="20"/>
          <w:lang w:val="en-GB"/>
        </w:rPr>
      </w:pPr>
      <w:r w:rsidRPr="000978E8">
        <w:rPr>
          <w:rFonts w:ascii="Effra Corp" w:eastAsia="Effra Corp" w:hAnsi="Effra Corp" w:cs="Arial"/>
          <w:b/>
          <w:color w:val="FF0000"/>
          <w:spacing w:val="-2"/>
          <w:sz w:val="20"/>
          <w:szCs w:val="20"/>
          <w:lang w:val="el-GR" w:bidi="el-GR"/>
        </w:rPr>
        <w:t xml:space="preserve">Βασικά στοιχεία ανά τομέα </w:t>
      </w:r>
    </w:p>
    <w:p w14:paraId="5A160C2C" w14:textId="43406E4E" w:rsidR="004169A0" w:rsidRPr="00F96F1C" w:rsidRDefault="004169A0" w:rsidP="003707D4">
      <w:pPr>
        <w:pStyle w:val="Footer"/>
        <w:numPr>
          <w:ilvl w:val="0"/>
          <w:numId w:val="26"/>
        </w:numPr>
        <w:tabs>
          <w:tab w:val="clear" w:pos="4320"/>
          <w:tab w:val="clear" w:pos="8640"/>
        </w:tabs>
        <w:ind w:left="1080"/>
        <w:jc w:val="both"/>
        <w:rPr>
          <w:rFonts w:ascii="Effra Corp" w:eastAsia="Calibri" w:hAnsi="Effra Corp"/>
          <w:sz w:val="20"/>
          <w:szCs w:val="20"/>
          <w:lang w:val="el-GR"/>
        </w:rPr>
      </w:pPr>
      <w:r w:rsidRPr="00F96F1C">
        <w:rPr>
          <w:rFonts w:ascii="Effra Corp" w:eastAsia="Calibri" w:hAnsi="Effra Corp" w:cs="Effra Corp"/>
          <w:b/>
          <w:sz w:val="20"/>
          <w:szCs w:val="20"/>
          <w:lang w:val="el-GR" w:bidi="el-GR"/>
        </w:rPr>
        <w:t>Αναπτυγμένες αγορές:</w:t>
      </w:r>
      <w:r w:rsidRPr="00F96F1C">
        <w:rPr>
          <w:rFonts w:ascii="Effra Corp" w:eastAsia="Calibri" w:hAnsi="Effra Corp" w:cs="Effra Corp"/>
          <w:sz w:val="20"/>
          <w:szCs w:val="20"/>
          <w:lang w:val="el-GR" w:bidi="el-GR"/>
        </w:rPr>
        <w:t xml:space="preserve"> Η </w:t>
      </w:r>
      <w:proofErr w:type="spellStart"/>
      <w:r w:rsidR="003F6FDB">
        <w:rPr>
          <w:rFonts w:ascii="Effra Corp" w:eastAsia="Calibri" w:hAnsi="Effra Corp" w:cs="Effra Corp"/>
          <w:sz w:val="20"/>
          <w:szCs w:val="20"/>
          <w:lang w:val="el-GR" w:bidi="el-GR"/>
        </w:rPr>
        <w:t>στοχευμένη</w:t>
      </w:r>
      <w:proofErr w:type="spellEnd"/>
      <w:r w:rsidR="003F6FDB" w:rsidRPr="00F96F1C">
        <w:rPr>
          <w:rFonts w:ascii="Effra Corp" w:eastAsia="Calibri" w:hAnsi="Effra Corp" w:cs="Effra Corp"/>
          <w:sz w:val="20"/>
          <w:szCs w:val="20"/>
          <w:lang w:val="el-GR" w:bidi="el-GR"/>
        </w:rPr>
        <w:t xml:space="preserve"> </w:t>
      </w:r>
      <w:r w:rsidRPr="00F96F1C">
        <w:rPr>
          <w:rFonts w:ascii="Effra Corp" w:eastAsia="Calibri" w:hAnsi="Effra Corp" w:cs="Effra Corp"/>
          <w:sz w:val="20"/>
          <w:szCs w:val="20"/>
          <w:lang w:val="el-GR" w:bidi="el-GR"/>
        </w:rPr>
        <w:t xml:space="preserve">εφαρμογή της στρατηγικής στο κανάλι της εκτός σπιτιού κατανάλωσης </w:t>
      </w:r>
      <w:r w:rsidR="003F6FDB">
        <w:rPr>
          <w:rFonts w:ascii="Effra Corp" w:eastAsia="Calibri" w:hAnsi="Effra Corp" w:cs="Effra Corp"/>
          <w:sz w:val="20"/>
          <w:szCs w:val="20"/>
          <w:lang w:val="el-GR" w:bidi="el-GR"/>
        </w:rPr>
        <w:t xml:space="preserve">μας </w:t>
      </w:r>
      <w:r w:rsidRPr="00F96F1C">
        <w:rPr>
          <w:rFonts w:ascii="Effra Corp" w:eastAsia="Calibri" w:hAnsi="Effra Corp" w:cs="Effra Corp"/>
          <w:sz w:val="20"/>
          <w:szCs w:val="20"/>
          <w:lang w:val="el-GR" w:bidi="el-GR"/>
        </w:rPr>
        <w:t xml:space="preserve">επέτρεψε να </w:t>
      </w:r>
      <w:r w:rsidR="003F6FDB">
        <w:rPr>
          <w:rFonts w:ascii="Effra Corp" w:eastAsia="Calibri" w:hAnsi="Effra Corp" w:cs="Effra Corp"/>
          <w:sz w:val="20"/>
          <w:szCs w:val="20"/>
          <w:lang w:val="el-GR" w:bidi="el-GR"/>
        </w:rPr>
        <w:t xml:space="preserve">επωφεληθούμε πλήρως </w:t>
      </w:r>
      <w:r w:rsidRPr="00F96F1C">
        <w:rPr>
          <w:rFonts w:ascii="Effra Corp" w:eastAsia="Calibri" w:hAnsi="Effra Corp" w:cs="Effra Corp"/>
          <w:sz w:val="20"/>
          <w:szCs w:val="20"/>
          <w:lang w:val="el-GR" w:bidi="el-GR"/>
        </w:rPr>
        <w:t>από την επαναλειτουργία τ</w:t>
      </w:r>
      <w:r w:rsidR="001F717D">
        <w:rPr>
          <w:rFonts w:ascii="Effra Corp" w:eastAsia="Calibri" w:hAnsi="Effra Corp" w:cs="Effra Corp"/>
          <w:sz w:val="20"/>
          <w:szCs w:val="20"/>
          <w:lang w:val="el-GR" w:bidi="el-GR"/>
        </w:rPr>
        <w:t>ης αγοράς αυτής</w:t>
      </w:r>
      <w:r w:rsidRPr="00F96F1C">
        <w:rPr>
          <w:rFonts w:ascii="Effra Corp" w:eastAsia="Calibri" w:hAnsi="Effra Corp" w:cs="Effra Corp"/>
          <w:sz w:val="20"/>
          <w:szCs w:val="20"/>
          <w:lang w:val="el-GR" w:bidi="el-GR"/>
        </w:rPr>
        <w:t>, η οποία επιταχύνθηκε το εν λόγω τρίμηνο.</w:t>
      </w:r>
    </w:p>
    <w:p w14:paraId="1ADDCA4E" w14:textId="57E910F6" w:rsidR="004169A0" w:rsidRPr="00F96F1C" w:rsidRDefault="004169A0" w:rsidP="003707D4">
      <w:pPr>
        <w:pStyle w:val="Footer"/>
        <w:numPr>
          <w:ilvl w:val="0"/>
          <w:numId w:val="26"/>
        </w:numPr>
        <w:tabs>
          <w:tab w:val="clear" w:pos="4320"/>
          <w:tab w:val="clear" w:pos="8640"/>
        </w:tabs>
        <w:ind w:left="1080"/>
        <w:jc w:val="both"/>
        <w:rPr>
          <w:rFonts w:ascii="Effra Corp" w:hAnsi="Effra Corp"/>
          <w:sz w:val="20"/>
          <w:szCs w:val="20"/>
          <w:lang w:val="el-GR"/>
        </w:rPr>
      </w:pPr>
      <w:r w:rsidRPr="00F96F1C">
        <w:rPr>
          <w:rFonts w:ascii="Effra Corp" w:eastAsia="Calibri" w:hAnsi="Effra Corp" w:cs="Effra Corp"/>
          <w:b/>
          <w:sz w:val="20"/>
          <w:szCs w:val="20"/>
          <w:lang w:val="el-GR" w:bidi="el-GR"/>
        </w:rPr>
        <w:t>Αναπτυσσόμενες αγορές:</w:t>
      </w:r>
      <w:r w:rsidRPr="00F96F1C">
        <w:rPr>
          <w:rFonts w:ascii="Effra Corp" w:eastAsia="Calibri" w:hAnsi="Effra Corp" w:cs="Effra Corp"/>
          <w:sz w:val="20"/>
          <w:szCs w:val="20"/>
          <w:lang w:val="el-GR" w:bidi="el-GR"/>
        </w:rPr>
        <w:t xml:space="preserve"> </w:t>
      </w:r>
      <w:r w:rsidR="0044307A">
        <w:rPr>
          <w:rFonts w:ascii="Effra Corp" w:eastAsia="Calibri" w:hAnsi="Effra Corp" w:cs="Effra Corp"/>
          <w:sz w:val="20"/>
          <w:szCs w:val="20"/>
          <w:lang w:val="el-GR" w:bidi="el-GR"/>
        </w:rPr>
        <w:t>Ευρείας βάσης α</w:t>
      </w:r>
      <w:r w:rsidRPr="00F96F1C">
        <w:rPr>
          <w:rFonts w:ascii="Effra Corp" w:eastAsia="Calibri" w:hAnsi="Effra Corp" w:cs="Effra Corp"/>
          <w:sz w:val="20"/>
          <w:szCs w:val="20"/>
          <w:lang w:val="el-GR" w:bidi="el-GR"/>
        </w:rPr>
        <w:t xml:space="preserve">ύξηση του όγκου πωλήσεων σε όλες τις αγορές και ισχυρή ανάκαμψη στην Πολωνία, </w:t>
      </w:r>
      <w:r w:rsidR="004F67C8">
        <w:rPr>
          <w:rFonts w:ascii="Effra Corp" w:eastAsia="Calibri" w:hAnsi="Effra Corp" w:cs="Effra Corp"/>
          <w:sz w:val="20"/>
          <w:szCs w:val="20"/>
          <w:lang w:val="el-GR" w:bidi="el-GR"/>
        </w:rPr>
        <w:t>καθώς</w:t>
      </w:r>
      <w:r w:rsidR="004F67C8" w:rsidRPr="00F96F1C">
        <w:rPr>
          <w:rFonts w:ascii="Effra Corp" w:eastAsia="Calibri" w:hAnsi="Effra Corp" w:cs="Effra Corp"/>
          <w:sz w:val="20"/>
          <w:szCs w:val="20"/>
          <w:lang w:val="el-GR" w:bidi="el-GR"/>
        </w:rPr>
        <w:t xml:space="preserve"> </w:t>
      </w:r>
      <w:r w:rsidRPr="00F96F1C">
        <w:rPr>
          <w:rFonts w:ascii="Effra Corp" w:eastAsia="Calibri" w:hAnsi="Effra Corp" w:cs="Effra Corp"/>
          <w:sz w:val="20"/>
          <w:szCs w:val="20"/>
          <w:lang w:val="el-GR" w:bidi="el-GR"/>
        </w:rPr>
        <w:t xml:space="preserve">ενσωματώνουμε </w:t>
      </w:r>
      <w:r w:rsidR="000A5838">
        <w:rPr>
          <w:rFonts w:ascii="Effra Corp" w:eastAsia="Calibri" w:hAnsi="Effra Corp" w:cs="Effra Corp"/>
          <w:sz w:val="20"/>
          <w:szCs w:val="20"/>
          <w:lang w:val="el-GR" w:bidi="el-GR"/>
        </w:rPr>
        <w:t xml:space="preserve">την επίδραση από την επιβολή </w:t>
      </w:r>
      <w:r w:rsidRPr="00F96F1C">
        <w:rPr>
          <w:rFonts w:ascii="Effra Corp" w:eastAsia="Calibri" w:hAnsi="Effra Corp" w:cs="Effra Corp"/>
          <w:sz w:val="20"/>
          <w:szCs w:val="20"/>
          <w:lang w:val="el-GR" w:bidi="el-GR"/>
        </w:rPr>
        <w:t>το</w:t>
      </w:r>
      <w:r w:rsidR="000A5838">
        <w:rPr>
          <w:rFonts w:ascii="Effra Corp" w:eastAsia="Calibri" w:hAnsi="Effra Corp" w:cs="Effra Corp"/>
          <w:sz w:val="20"/>
          <w:szCs w:val="20"/>
          <w:lang w:val="el-GR" w:bidi="el-GR"/>
        </w:rPr>
        <w:t>υ</w:t>
      </w:r>
      <w:r w:rsidRPr="00F96F1C">
        <w:rPr>
          <w:rFonts w:ascii="Effra Corp" w:eastAsia="Calibri" w:hAnsi="Effra Corp" w:cs="Effra Corp"/>
          <w:sz w:val="20"/>
          <w:szCs w:val="20"/>
          <w:lang w:val="el-GR" w:bidi="el-GR"/>
        </w:rPr>
        <w:t xml:space="preserve"> φόρο</w:t>
      </w:r>
      <w:r w:rsidR="000A5838">
        <w:rPr>
          <w:rFonts w:ascii="Effra Corp" w:eastAsia="Calibri" w:hAnsi="Effra Corp" w:cs="Effra Corp"/>
          <w:sz w:val="20"/>
          <w:szCs w:val="20"/>
          <w:lang w:val="el-GR" w:bidi="el-GR"/>
        </w:rPr>
        <w:t>υ</w:t>
      </w:r>
      <w:r w:rsidRPr="00F96F1C">
        <w:rPr>
          <w:rFonts w:ascii="Effra Corp" w:eastAsia="Calibri" w:hAnsi="Effra Corp" w:cs="Effra Corp"/>
          <w:sz w:val="20"/>
          <w:szCs w:val="20"/>
          <w:lang w:val="el-GR" w:bidi="el-GR"/>
        </w:rPr>
        <w:t xml:space="preserve"> </w:t>
      </w:r>
      <w:r w:rsidR="000A5838">
        <w:rPr>
          <w:rFonts w:ascii="Effra Corp" w:eastAsia="Calibri" w:hAnsi="Effra Corp" w:cs="Effra Corp"/>
          <w:sz w:val="20"/>
          <w:szCs w:val="20"/>
          <w:lang w:val="el-GR" w:bidi="el-GR"/>
        </w:rPr>
        <w:t xml:space="preserve">στη </w:t>
      </w:r>
      <w:r w:rsidRPr="00F96F1C">
        <w:rPr>
          <w:rFonts w:ascii="Effra Corp" w:eastAsia="Calibri" w:hAnsi="Effra Corp" w:cs="Effra Corp"/>
          <w:sz w:val="20"/>
          <w:szCs w:val="20"/>
          <w:lang w:val="el-GR" w:bidi="el-GR"/>
        </w:rPr>
        <w:t xml:space="preserve">ζάχαρη στη βάση σύγκρισης. </w:t>
      </w:r>
    </w:p>
    <w:p w14:paraId="49A6CF67" w14:textId="75A3029E" w:rsidR="002C67C9" w:rsidRPr="00F96F1C" w:rsidRDefault="004169A0" w:rsidP="003707D4">
      <w:pPr>
        <w:pStyle w:val="Footer"/>
        <w:numPr>
          <w:ilvl w:val="0"/>
          <w:numId w:val="26"/>
        </w:numPr>
        <w:tabs>
          <w:tab w:val="clear" w:pos="4320"/>
          <w:tab w:val="clear" w:pos="8640"/>
        </w:tabs>
        <w:ind w:left="1080"/>
        <w:jc w:val="both"/>
        <w:rPr>
          <w:rFonts w:ascii="Effra Corp" w:eastAsia="Calibri" w:hAnsi="Effra Corp" w:cs="Effra Corp"/>
          <w:sz w:val="20"/>
          <w:szCs w:val="20"/>
          <w:lang w:val="el-GR" w:bidi="el-GR"/>
        </w:rPr>
      </w:pPr>
      <w:r w:rsidRPr="00F96F1C">
        <w:rPr>
          <w:rFonts w:ascii="Effra Corp" w:eastAsia="Calibri" w:hAnsi="Effra Corp" w:cs="Effra Corp"/>
          <w:b/>
          <w:sz w:val="20"/>
          <w:szCs w:val="20"/>
          <w:lang w:val="el-GR" w:bidi="el-GR"/>
        </w:rPr>
        <w:t xml:space="preserve">Αναδυόμενες αγορές: </w:t>
      </w:r>
      <w:r w:rsidRPr="00F96F1C">
        <w:rPr>
          <w:rFonts w:ascii="Effra Corp" w:eastAsia="Calibri" w:hAnsi="Effra Corp" w:cs="Effra Corp"/>
          <w:sz w:val="20"/>
          <w:szCs w:val="20"/>
          <w:lang w:val="el-GR" w:bidi="el-GR"/>
        </w:rPr>
        <w:t xml:space="preserve">Η ισχυρή δυναμική συνεχίζεται, παρά την πιο υψηλή βάση σύγκρισης και τον αντίκτυπο από τη </w:t>
      </w:r>
      <w:r w:rsidR="00DA1553">
        <w:rPr>
          <w:rFonts w:ascii="Effra Corp" w:eastAsia="Calibri" w:hAnsi="Effra Corp" w:cs="Effra Corp"/>
          <w:sz w:val="20"/>
          <w:szCs w:val="20"/>
          <w:lang w:val="el-GR" w:bidi="el-GR"/>
        </w:rPr>
        <w:t>σύγκρουση</w:t>
      </w:r>
      <w:r w:rsidR="001F717D" w:rsidRPr="00F96F1C">
        <w:rPr>
          <w:rFonts w:ascii="Effra Corp" w:eastAsia="Calibri" w:hAnsi="Effra Corp" w:cs="Effra Corp"/>
          <w:sz w:val="20"/>
          <w:szCs w:val="20"/>
          <w:lang w:val="el-GR" w:bidi="el-GR"/>
        </w:rPr>
        <w:t xml:space="preserve"> </w:t>
      </w:r>
      <w:r w:rsidR="00B95151">
        <w:rPr>
          <w:rFonts w:ascii="Effra Corp" w:eastAsia="Calibri" w:hAnsi="Effra Corp" w:cs="Effra Corp"/>
          <w:sz w:val="20"/>
          <w:szCs w:val="20"/>
          <w:lang w:val="el-GR" w:bidi="el-GR"/>
        </w:rPr>
        <w:t>σ</w:t>
      </w:r>
      <w:r w:rsidRPr="00F96F1C">
        <w:rPr>
          <w:rFonts w:ascii="Effra Corp" w:eastAsia="Calibri" w:hAnsi="Effra Corp" w:cs="Effra Corp"/>
          <w:sz w:val="20"/>
          <w:szCs w:val="20"/>
          <w:lang w:val="el-GR" w:bidi="el-GR"/>
        </w:rPr>
        <w:t xml:space="preserve">την Ουκρανία. </w:t>
      </w:r>
    </w:p>
    <w:p w14:paraId="23E3C4BE" w14:textId="083A1E20" w:rsidR="002C67C9" w:rsidRPr="00F96F1C" w:rsidRDefault="002C67C9" w:rsidP="003707D4">
      <w:pPr>
        <w:jc w:val="both"/>
        <w:rPr>
          <w:rFonts w:ascii="Effra Corp" w:eastAsia="Calibri" w:hAnsi="Effra Corp" w:cs="Effra Corp"/>
          <w:sz w:val="20"/>
          <w:szCs w:val="20"/>
          <w:lang w:val="el-GR" w:bidi="el-GR"/>
        </w:rPr>
      </w:pPr>
    </w:p>
    <w:tbl>
      <w:tblPr>
        <w:tblW w:w="980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08"/>
        <w:gridCol w:w="1168"/>
        <w:gridCol w:w="1259"/>
        <w:gridCol w:w="1169"/>
        <w:gridCol w:w="1169"/>
        <w:gridCol w:w="1079"/>
        <w:gridCol w:w="1349"/>
      </w:tblGrid>
      <w:tr w:rsidR="007E6A5B" w:rsidRPr="00F25059" w14:paraId="7877BDB2" w14:textId="77777777" w:rsidTr="003D4751">
        <w:trPr>
          <w:trHeight w:hRule="exact" w:val="551"/>
        </w:trPr>
        <w:tc>
          <w:tcPr>
            <w:tcW w:w="2608" w:type="dxa"/>
            <w:tcBorders>
              <w:top w:val="nil"/>
              <w:left w:val="nil"/>
              <w:bottom w:val="nil"/>
              <w:right w:val="nil"/>
            </w:tcBorders>
            <w:tcMar>
              <w:top w:w="0" w:type="dxa"/>
              <w:left w:w="60" w:type="dxa"/>
              <w:bottom w:w="0" w:type="dxa"/>
              <w:right w:w="60" w:type="dxa"/>
            </w:tcMar>
            <w:vAlign w:val="bottom"/>
          </w:tcPr>
          <w:p w14:paraId="2E3CECF5" w14:textId="77777777" w:rsidR="007E6A5B" w:rsidRPr="00496099" w:rsidRDefault="007E6A5B" w:rsidP="003D4751">
            <w:pPr>
              <w:pStyle w:val="DMETW1139BIPGrowthTable"/>
            </w:pPr>
            <w:r w:rsidRPr="00496099">
              <w:t>Μεταβολή (%)</w:t>
            </w:r>
          </w:p>
        </w:tc>
        <w:tc>
          <w:tcPr>
            <w:tcW w:w="2427" w:type="dxa"/>
            <w:gridSpan w:val="2"/>
            <w:tcBorders>
              <w:top w:val="nil"/>
              <w:left w:val="nil"/>
              <w:bottom w:val="nil"/>
              <w:right w:val="nil"/>
            </w:tcBorders>
            <w:tcMar>
              <w:top w:w="0" w:type="dxa"/>
              <w:left w:w="60" w:type="dxa"/>
              <w:bottom w:w="0" w:type="dxa"/>
              <w:right w:w="60" w:type="dxa"/>
            </w:tcMar>
            <w:vAlign w:val="center"/>
          </w:tcPr>
          <w:p w14:paraId="725B47AC" w14:textId="77777777" w:rsidR="007E6A5B" w:rsidRPr="00496099" w:rsidRDefault="007E6A5B" w:rsidP="003D4751">
            <w:pPr>
              <w:pStyle w:val="DMETW1139BIPGrowthTable"/>
              <w:jc w:val="center"/>
            </w:pPr>
            <w:r w:rsidRPr="00496099">
              <w:t>Καθαρά έσοδα από πωλήσεις</w:t>
            </w:r>
          </w:p>
        </w:tc>
        <w:tc>
          <w:tcPr>
            <w:tcW w:w="2338" w:type="dxa"/>
            <w:gridSpan w:val="2"/>
            <w:tcBorders>
              <w:top w:val="nil"/>
              <w:left w:val="nil"/>
              <w:bottom w:val="nil"/>
              <w:right w:val="nil"/>
            </w:tcBorders>
            <w:tcMar>
              <w:top w:w="0" w:type="dxa"/>
              <w:left w:w="60" w:type="dxa"/>
              <w:bottom w:w="0" w:type="dxa"/>
              <w:right w:w="60" w:type="dxa"/>
            </w:tcMar>
            <w:vAlign w:val="center"/>
          </w:tcPr>
          <w:p w14:paraId="32D97511" w14:textId="77777777" w:rsidR="007E6A5B" w:rsidRPr="00496099" w:rsidRDefault="007E6A5B" w:rsidP="003D4751">
            <w:pPr>
              <w:pStyle w:val="DMETW1139BIPGrowthTable"/>
              <w:jc w:val="center"/>
            </w:pPr>
            <w:r w:rsidRPr="00496099">
              <w:t>Όγκος πωλήσεων</w:t>
            </w:r>
          </w:p>
        </w:tc>
        <w:tc>
          <w:tcPr>
            <w:tcW w:w="2428" w:type="dxa"/>
            <w:gridSpan w:val="2"/>
            <w:tcBorders>
              <w:top w:val="nil"/>
              <w:left w:val="nil"/>
              <w:bottom w:val="nil"/>
              <w:right w:val="nil"/>
            </w:tcBorders>
            <w:tcMar>
              <w:top w:w="0" w:type="dxa"/>
              <w:left w:w="60" w:type="dxa"/>
              <w:bottom w:w="0" w:type="dxa"/>
              <w:right w:w="60" w:type="dxa"/>
            </w:tcMar>
            <w:vAlign w:val="center"/>
          </w:tcPr>
          <w:p w14:paraId="5B6CD016" w14:textId="77777777" w:rsidR="007E6A5B" w:rsidRPr="00496099" w:rsidRDefault="007E6A5B" w:rsidP="003D4751">
            <w:pPr>
              <w:pStyle w:val="DMETW1139BIPGrowthTable"/>
              <w:jc w:val="center"/>
            </w:pPr>
            <w:r w:rsidRPr="00496099">
              <w:t>Καθαρά έσοδα από πωλήσεις ανά κιβώτιο</w:t>
            </w:r>
          </w:p>
        </w:tc>
      </w:tr>
      <w:tr w:rsidR="007E6A5B" w:rsidRPr="00496099" w14:paraId="3846F7E4" w14:textId="77777777" w:rsidTr="0059026D">
        <w:trPr>
          <w:trHeight w:hRule="exact" w:val="740"/>
        </w:trPr>
        <w:tc>
          <w:tcPr>
            <w:tcW w:w="2608" w:type="dxa"/>
            <w:tcBorders>
              <w:top w:val="nil"/>
              <w:left w:val="nil"/>
              <w:bottom w:val="inset" w:sz="12" w:space="0" w:color="FF0000"/>
              <w:right w:val="nil"/>
            </w:tcBorders>
            <w:tcMar>
              <w:top w:w="0" w:type="dxa"/>
              <w:left w:w="60" w:type="dxa"/>
              <w:bottom w:w="0" w:type="dxa"/>
              <w:right w:w="60" w:type="dxa"/>
            </w:tcMar>
            <w:vAlign w:val="bottom"/>
          </w:tcPr>
          <w:p w14:paraId="24B55079" w14:textId="77777777" w:rsidR="007E6A5B" w:rsidRPr="00496099" w:rsidRDefault="007E6A5B" w:rsidP="003D4751">
            <w:pPr>
              <w:pStyle w:val="DMETW1139BIPGrowthTable"/>
            </w:pPr>
            <w:r w:rsidRPr="00496099">
              <w:t xml:space="preserve">Α’ τρίμηνο 2022 με </w:t>
            </w:r>
          </w:p>
          <w:p w14:paraId="5ADD00B5" w14:textId="77777777" w:rsidR="007E6A5B" w:rsidRPr="00496099" w:rsidRDefault="007E6A5B" w:rsidP="003D4751">
            <w:pPr>
              <w:pStyle w:val="DMETW1139BIPGrowthTable"/>
            </w:pPr>
            <w:r w:rsidRPr="00496099">
              <w:t>Α’ τρίμηνο 2021</w:t>
            </w:r>
          </w:p>
        </w:tc>
        <w:tc>
          <w:tcPr>
            <w:tcW w:w="1168" w:type="dxa"/>
            <w:tcBorders>
              <w:top w:val="nil"/>
              <w:left w:val="nil"/>
              <w:bottom w:val="inset" w:sz="12" w:space="0" w:color="FF0000"/>
              <w:right w:val="nil"/>
            </w:tcBorders>
            <w:tcMar>
              <w:top w:w="0" w:type="dxa"/>
              <w:left w:w="60" w:type="dxa"/>
              <w:bottom w:w="0" w:type="dxa"/>
              <w:right w:w="60" w:type="dxa"/>
            </w:tcMar>
            <w:vAlign w:val="center"/>
          </w:tcPr>
          <w:p w14:paraId="6B70F5EB" w14:textId="77777777" w:rsidR="007E6A5B" w:rsidRPr="00496099" w:rsidRDefault="007E6A5B" w:rsidP="003D4751">
            <w:pPr>
              <w:pStyle w:val="DMETW1139BIPGrowthTable"/>
              <w:jc w:val="center"/>
              <w:rPr>
                <w:b w:val="0"/>
                <w:lang w:val="en-GB"/>
              </w:rPr>
            </w:pPr>
            <w:r w:rsidRPr="00496099">
              <w:rPr>
                <w:b w:val="0"/>
              </w:rPr>
              <w:t>σε οργανική βάση</w:t>
            </w:r>
            <w:r w:rsidRPr="00496099">
              <w:rPr>
                <w:b w:val="0"/>
                <w:vertAlign w:val="superscript"/>
                <w:lang w:val="en-GB"/>
              </w:rPr>
              <w:t>1</w:t>
            </w:r>
          </w:p>
        </w:tc>
        <w:tc>
          <w:tcPr>
            <w:tcW w:w="1259" w:type="dxa"/>
            <w:tcBorders>
              <w:top w:val="nil"/>
              <w:left w:val="nil"/>
              <w:bottom w:val="inset" w:sz="12" w:space="0" w:color="FF0000"/>
              <w:right w:val="nil"/>
            </w:tcBorders>
            <w:tcMar>
              <w:top w:w="0" w:type="dxa"/>
              <w:left w:w="60" w:type="dxa"/>
              <w:bottom w:w="0" w:type="dxa"/>
              <w:right w:w="60" w:type="dxa"/>
            </w:tcMar>
            <w:vAlign w:val="center"/>
          </w:tcPr>
          <w:p w14:paraId="6797343A" w14:textId="77777777" w:rsidR="007E6A5B" w:rsidRPr="00496099" w:rsidRDefault="007E6A5B" w:rsidP="003D4751">
            <w:pPr>
              <w:pStyle w:val="DMETW1139BIPGrowthTable"/>
              <w:jc w:val="center"/>
              <w:rPr>
                <w:b w:val="0"/>
              </w:rPr>
            </w:pPr>
            <w:r w:rsidRPr="00496099">
              <w:rPr>
                <w:b w:val="0"/>
              </w:rPr>
              <w:t xml:space="preserve">σε </w:t>
            </w:r>
            <w:proofErr w:type="spellStart"/>
            <w:r w:rsidRPr="00496099">
              <w:rPr>
                <w:b w:val="0"/>
              </w:rPr>
              <w:t>δημοσιευ</w:t>
            </w:r>
            <w:proofErr w:type="spellEnd"/>
            <w:r w:rsidRPr="00496099">
              <w:rPr>
                <w:b w:val="0"/>
              </w:rPr>
              <w:t>-μένη βάση</w:t>
            </w:r>
          </w:p>
        </w:tc>
        <w:tc>
          <w:tcPr>
            <w:tcW w:w="1169" w:type="dxa"/>
            <w:tcBorders>
              <w:top w:val="nil"/>
              <w:left w:val="nil"/>
              <w:bottom w:val="inset" w:sz="12" w:space="0" w:color="FF0000"/>
              <w:right w:val="nil"/>
            </w:tcBorders>
            <w:tcMar>
              <w:top w:w="0" w:type="dxa"/>
              <w:left w:w="60" w:type="dxa"/>
              <w:bottom w:w="0" w:type="dxa"/>
              <w:right w:w="60" w:type="dxa"/>
            </w:tcMar>
            <w:vAlign w:val="center"/>
          </w:tcPr>
          <w:p w14:paraId="2EBB78A7" w14:textId="77777777" w:rsidR="007E6A5B" w:rsidRPr="00496099" w:rsidRDefault="007E6A5B" w:rsidP="003D4751">
            <w:pPr>
              <w:pStyle w:val="DMETW1139BIPGrowthTable"/>
              <w:jc w:val="center"/>
              <w:rPr>
                <w:b w:val="0"/>
                <w:lang w:val="en-GB"/>
              </w:rPr>
            </w:pPr>
            <w:r w:rsidRPr="00496099">
              <w:rPr>
                <w:b w:val="0"/>
              </w:rPr>
              <w:t>σε οργανική βάση</w:t>
            </w:r>
            <w:r w:rsidRPr="00496099">
              <w:rPr>
                <w:b w:val="0"/>
                <w:vertAlign w:val="superscript"/>
                <w:lang w:val="en-GB"/>
              </w:rPr>
              <w:t>1</w:t>
            </w:r>
          </w:p>
        </w:tc>
        <w:tc>
          <w:tcPr>
            <w:tcW w:w="1169" w:type="dxa"/>
            <w:tcBorders>
              <w:top w:val="nil"/>
              <w:left w:val="nil"/>
              <w:bottom w:val="inset" w:sz="12" w:space="0" w:color="FF0000"/>
              <w:right w:val="nil"/>
            </w:tcBorders>
            <w:tcMar>
              <w:top w:w="0" w:type="dxa"/>
              <w:left w:w="60" w:type="dxa"/>
              <w:bottom w:w="0" w:type="dxa"/>
              <w:right w:w="60" w:type="dxa"/>
            </w:tcMar>
            <w:vAlign w:val="center"/>
          </w:tcPr>
          <w:p w14:paraId="69106180" w14:textId="77777777" w:rsidR="007E6A5B" w:rsidRPr="00496099" w:rsidRDefault="007E6A5B" w:rsidP="003D4751">
            <w:pPr>
              <w:pStyle w:val="DMETW1139BIPGrowthTable"/>
              <w:jc w:val="center"/>
              <w:rPr>
                <w:b w:val="0"/>
                <w:lang w:val="en-GB"/>
              </w:rPr>
            </w:pPr>
            <w:r w:rsidRPr="00496099">
              <w:rPr>
                <w:b w:val="0"/>
              </w:rPr>
              <w:t xml:space="preserve">σε </w:t>
            </w:r>
            <w:proofErr w:type="spellStart"/>
            <w:r w:rsidRPr="00496099">
              <w:rPr>
                <w:b w:val="0"/>
              </w:rPr>
              <w:t>δημοσιευ</w:t>
            </w:r>
            <w:proofErr w:type="spellEnd"/>
            <w:r w:rsidRPr="00496099">
              <w:rPr>
                <w:b w:val="0"/>
              </w:rPr>
              <w:t>-μένη βάση</w:t>
            </w:r>
          </w:p>
        </w:tc>
        <w:tc>
          <w:tcPr>
            <w:tcW w:w="1079" w:type="dxa"/>
            <w:tcBorders>
              <w:top w:val="nil"/>
              <w:left w:val="nil"/>
              <w:bottom w:val="inset" w:sz="12" w:space="0" w:color="FF0000"/>
              <w:right w:val="nil"/>
            </w:tcBorders>
            <w:tcMar>
              <w:top w:w="0" w:type="dxa"/>
              <w:left w:w="60" w:type="dxa"/>
              <w:bottom w:w="0" w:type="dxa"/>
              <w:right w:w="60" w:type="dxa"/>
            </w:tcMar>
            <w:vAlign w:val="center"/>
          </w:tcPr>
          <w:p w14:paraId="34796C9A" w14:textId="77777777" w:rsidR="007E6A5B" w:rsidRPr="00496099" w:rsidRDefault="007E6A5B" w:rsidP="003D4751">
            <w:pPr>
              <w:pStyle w:val="DMETW1139BIPGrowthTable"/>
              <w:jc w:val="center"/>
              <w:rPr>
                <w:b w:val="0"/>
                <w:lang w:val="en-GB"/>
              </w:rPr>
            </w:pPr>
            <w:r w:rsidRPr="00496099">
              <w:rPr>
                <w:b w:val="0"/>
              </w:rPr>
              <w:t>σε οργανική βάση</w:t>
            </w:r>
            <w:r w:rsidRPr="00496099">
              <w:rPr>
                <w:b w:val="0"/>
                <w:vertAlign w:val="superscript"/>
                <w:lang w:val="en-GB"/>
              </w:rPr>
              <w:t>1</w:t>
            </w:r>
          </w:p>
        </w:tc>
        <w:tc>
          <w:tcPr>
            <w:tcW w:w="1349" w:type="dxa"/>
            <w:tcBorders>
              <w:top w:val="nil"/>
              <w:left w:val="nil"/>
              <w:bottom w:val="inset" w:sz="12" w:space="0" w:color="FF0000"/>
              <w:right w:val="nil"/>
            </w:tcBorders>
            <w:tcMar>
              <w:top w:w="0" w:type="dxa"/>
              <w:left w:w="60" w:type="dxa"/>
              <w:bottom w:w="0" w:type="dxa"/>
              <w:right w:w="60" w:type="dxa"/>
            </w:tcMar>
            <w:vAlign w:val="bottom"/>
          </w:tcPr>
          <w:p w14:paraId="31482883" w14:textId="77777777" w:rsidR="007E6A5B" w:rsidRPr="00496099" w:rsidRDefault="007E6A5B" w:rsidP="0059026D">
            <w:pPr>
              <w:pStyle w:val="DMETW1139BIPGrowthTable"/>
              <w:jc w:val="center"/>
              <w:rPr>
                <w:b w:val="0"/>
                <w:lang w:val="en-GB"/>
              </w:rPr>
            </w:pPr>
            <w:r w:rsidRPr="00496099">
              <w:rPr>
                <w:b w:val="0"/>
              </w:rPr>
              <w:t xml:space="preserve">σε </w:t>
            </w:r>
            <w:proofErr w:type="spellStart"/>
            <w:r w:rsidRPr="00496099">
              <w:rPr>
                <w:b w:val="0"/>
              </w:rPr>
              <w:t>δημοσιευ</w:t>
            </w:r>
            <w:proofErr w:type="spellEnd"/>
            <w:r w:rsidRPr="00496099">
              <w:rPr>
                <w:b w:val="0"/>
              </w:rPr>
              <w:t>-μένη βάση</w:t>
            </w:r>
          </w:p>
        </w:tc>
      </w:tr>
      <w:tr w:rsidR="007E6A5B" w:rsidRPr="00496099" w14:paraId="18F47FBE" w14:textId="77777777" w:rsidTr="003D4751">
        <w:trPr>
          <w:trHeight w:hRule="exact" w:val="264"/>
        </w:trPr>
        <w:tc>
          <w:tcPr>
            <w:tcW w:w="2608" w:type="dxa"/>
            <w:tcBorders>
              <w:top w:val="nil"/>
              <w:left w:val="nil"/>
              <w:bottom w:val="nil"/>
              <w:right w:val="nil"/>
            </w:tcBorders>
            <w:tcMar>
              <w:top w:w="0" w:type="dxa"/>
              <w:left w:w="60" w:type="dxa"/>
              <w:bottom w:w="0" w:type="dxa"/>
              <w:right w:w="60" w:type="dxa"/>
            </w:tcMar>
            <w:vAlign w:val="bottom"/>
          </w:tcPr>
          <w:p w14:paraId="15A0B88D" w14:textId="77777777" w:rsidR="007E6A5B" w:rsidRPr="00496099" w:rsidRDefault="007E6A5B" w:rsidP="003D4751">
            <w:pPr>
              <w:pStyle w:val="DMETW1139BIPGrowthTable"/>
            </w:pPr>
            <w:r w:rsidRPr="00496099">
              <w:t>Σύνολο Ομίλου</w:t>
            </w:r>
          </w:p>
        </w:tc>
        <w:tc>
          <w:tcPr>
            <w:tcW w:w="1168" w:type="dxa"/>
            <w:tcBorders>
              <w:top w:val="nil"/>
              <w:left w:val="nil"/>
              <w:bottom w:val="nil"/>
              <w:right w:val="nil"/>
            </w:tcBorders>
            <w:tcMar>
              <w:top w:w="0" w:type="dxa"/>
              <w:left w:w="60" w:type="dxa"/>
              <w:bottom w:w="0" w:type="dxa"/>
              <w:right w:w="60" w:type="dxa"/>
            </w:tcMar>
            <w:vAlign w:val="center"/>
          </w:tcPr>
          <w:p w14:paraId="51D4C114" w14:textId="2755BEC4" w:rsidR="007E6A5B" w:rsidRPr="00496099" w:rsidRDefault="007E6A5B" w:rsidP="003D4751">
            <w:pPr>
              <w:pStyle w:val="DMETW1139BIPGrowthTable"/>
              <w:jc w:val="center"/>
              <w:rPr>
                <w:lang w:val="en-GB"/>
              </w:rPr>
            </w:pPr>
            <w:r w:rsidRPr="00496099">
              <w:rPr>
                <w:lang w:val="en-GB"/>
              </w:rPr>
              <w:t>24</w:t>
            </w:r>
            <w:r w:rsidR="005061CE">
              <w:t>,</w:t>
            </w:r>
            <w:r w:rsidRPr="00496099">
              <w:rPr>
                <w:lang w:val="en-GB"/>
              </w:rPr>
              <w:t>2</w:t>
            </w:r>
          </w:p>
        </w:tc>
        <w:tc>
          <w:tcPr>
            <w:tcW w:w="1259" w:type="dxa"/>
            <w:tcBorders>
              <w:top w:val="nil"/>
              <w:left w:val="nil"/>
              <w:bottom w:val="nil"/>
              <w:right w:val="nil"/>
            </w:tcBorders>
            <w:tcMar>
              <w:top w:w="0" w:type="dxa"/>
              <w:left w:w="60" w:type="dxa"/>
              <w:bottom w:w="0" w:type="dxa"/>
              <w:right w:w="60" w:type="dxa"/>
            </w:tcMar>
            <w:vAlign w:val="center"/>
          </w:tcPr>
          <w:p w14:paraId="69FFFD85" w14:textId="1F84262B" w:rsidR="007E6A5B" w:rsidRPr="00496099" w:rsidRDefault="007E6A5B" w:rsidP="003D4751">
            <w:pPr>
              <w:pStyle w:val="DMETW1139BIPGrowthTable"/>
              <w:jc w:val="center"/>
              <w:rPr>
                <w:lang w:val="en-GB"/>
              </w:rPr>
            </w:pPr>
            <w:r w:rsidRPr="00496099">
              <w:rPr>
                <w:lang w:val="en-GB"/>
              </w:rPr>
              <w:t>31</w:t>
            </w:r>
            <w:r w:rsidR="005061CE">
              <w:t>,</w:t>
            </w:r>
            <w:r w:rsidRPr="00496099">
              <w:rPr>
                <w:lang w:val="en-GB"/>
              </w:rPr>
              <w:t>0</w:t>
            </w:r>
          </w:p>
        </w:tc>
        <w:tc>
          <w:tcPr>
            <w:tcW w:w="1169" w:type="dxa"/>
            <w:tcBorders>
              <w:top w:val="nil"/>
              <w:left w:val="nil"/>
              <w:bottom w:val="nil"/>
              <w:right w:val="nil"/>
            </w:tcBorders>
            <w:tcMar>
              <w:top w:w="0" w:type="dxa"/>
              <w:left w:w="60" w:type="dxa"/>
              <w:bottom w:w="0" w:type="dxa"/>
              <w:right w:w="60" w:type="dxa"/>
            </w:tcMar>
            <w:vAlign w:val="center"/>
          </w:tcPr>
          <w:p w14:paraId="1CADCEAE" w14:textId="2BB9059B" w:rsidR="007E6A5B" w:rsidRPr="00496099" w:rsidRDefault="007E6A5B" w:rsidP="003D4751">
            <w:pPr>
              <w:pStyle w:val="DMETW1139BIPGrowthTable"/>
              <w:jc w:val="center"/>
              <w:rPr>
                <w:lang w:val="en-GB"/>
              </w:rPr>
            </w:pPr>
            <w:r w:rsidRPr="00496099">
              <w:rPr>
                <w:lang w:val="en-GB"/>
              </w:rPr>
              <w:t>11</w:t>
            </w:r>
            <w:r w:rsidR="005061CE">
              <w:t>,</w:t>
            </w:r>
            <w:r w:rsidRPr="00496099">
              <w:rPr>
                <w:lang w:val="en-GB"/>
              </w:rPr>
              <w:t>3</w:t>
            </w:r>
          </w:p>
        </w:tc>
        <w:tc>
          <w:tcPr>
            <w:tcW w:w="1169" w:type="dxa"/>
            <w:tcBorders>
              <w:top w:val="nil"/>
              <w:left w:val="nil"/>
              <w:bottom w:val="nil"/>
              <w:right w:val="nil"/>
            </w:tcBorders>
            <w:tcMar>
              <w:top w:w="0" w:type="dxa"/>
              <w:left w:w="60" w:type="dxa"/>
              <w:bottom w:w="0" w:type="dxa"/>
              <w:right w:w="60" w:type="dxa"/>
            </w:tcMar>
            <w:vAlign w:val="center"/>
          </w:tcPr>
          <w:p w14:paraId="52DEAA3F" w14:textId="7418D7CF" w:rsidR="007E6A5B" w:rsidRPr="00496099" w:rsidRDefault="007E6A5B" w:rsidP="003D4751">
            <w:pPr>
              <w:pStyle w:val="DMETW1139BIPGrowthTable"/>
              <w:jc w:val="center"/>
              <w:rPr>
                <w:lang w:val="en-GB"/>
              </w:rPr>
            </w:pPr>
            <w:r w:rsidRPr="00496099">
              <w:rPr>
                <w:lang w:val="en-GB"/>
              </w:rPr>
              <w:t>23</w:t>
            </w:r>
            <w:r w:rsidR="005061CE">
              <w:t>,</w:t>
            </w:r>
            <w:r w:rsidRPr="00496099">
              <w:rPr>
                <w:lang w:val="en-GB"/>
              </w:rPr>
              <w:t>4</w:t>
            </w:r>
          </w:p>
        </w:tc>
        <w:tc>
          <w:tcPr>
            <w:tcW w:w="1079" w:type="dxa"/>
            <w:tcBorders>
              <w:top w:val="nil"/>
              <w:left w:val="nil"/>
              <w:bottom w:val="nil"/>
              <w:right w:val="nil"/>
            </w:tcBorders>
            <w:tcMar>
              <w:top w:w="0" w:type="dxa"/>
              <w:left w:w="60" w:type="dxa"/>
              <w:bottom w:w="0" w:type="dxa"/>
              <w:right w:w="60" w:type="dxa"/>
            </w:tcMar>
            <w:vAlign w:val="center"/>
          </w:tcPr>
          <w:p w14:paraId="43362634" w14:textId="781C0B7E" w:rsidR="007E6A5B" w:rsidRPr="00496099" w:rsidRDefault="007E6A5B" w:rsidP="003D4751">
            <w:pPr>
              <w:pStyle w:val="DMETW1139BIPGrowthTable"/>
              <w:jc w:val="center"/>
              <w:rPr>
                <w:lang w:val="en-GB"/>
              </w:rPr>
            </w:pPr>
            <w:r w:rsidRPr="00496099">
              <w:rPr>
                <w:lang w:val="en-GB"/>
              </w:rPr>
              <w:t>11</w:t>
            </w:r>
            <w:r w:rsidR="005061CE">
              <w:t>,</w:t>
            </w:r>
            <w:r w:rsidRPr="00496099">
              <w:rPr>
                <w:lang w:val="en-GB"/>
              </w:rPr>
              <w:t>6</w:t>
            </w:r>
          </w:p>
        </w:tc>
        <w:tc>
          <w:tcPr>
            <w:tcW w:w="1349" w:type="dxa"/>
            <w:tcBorders>
              <w:top w:val="nil"/>
              <w:left w:val="nil"/>
              <w:bottom w:val="nil"/>
              <w:right w:val="nil"/>
            </w:tcBorders>
            <w:tcMar>
              <w:top w:w="0" w:type="dxa"/>
              <w:left w:w="60" w:type="dxa"/>
              <w:bottom w:w="0" w:type="dxa"/>
              <w:right w:w="60" w:type="dxa"/>
            </w:tcMar>
            <w:vAlign w:val="center"/>
          </w:tcPr>
          <w:p w14:paraId="0F646146" w14:textId="66F1E52B" w:rsidR="007E6A5B" w:rsidRPr="00496099" w:rsidRDefault="007E6A5B" w:rsidP="003D4751">
            <w:pPr>
              <w:pStyle w:val="DMETW1139BIPGrowthTable"/>
              <w:jc w:val="center"/>
              <w:rPr>
                <w:lang w:val="en-GB"/>
              </w:rPr>
            </w:pPr>
            <w:r w:rsidRPr="00496099">
              <w:rPr>
                <w:lang w:val="en-GB"/>
              </w:rPr>
              <w:t>6</w:t>
            </w:r>
            <w:r w:rsidR="005061CE">
              <w:t>,</w:t>
            </w:r>
            <w:r w:rsidRPr="00496099">
              <w:rPr>
                <w:lang w:val="en-GB"/>
              </w:rPr>
              <w:t>2</w:t>
            </w:r>
          </w:p>
        </w:tc>
      </w:tr>
      <w:tr w:rsidR="007E6A5B" w:rsidRPr="00496099" w14:paraId="7C193544" w14:textId="77777777" w:rsidTr="003D4751">
        <w:trPr>
          <w:trHeight w:hRule="exact" w:val="264"/>
        </w:trPr>
        <w:tc>
          <w:tcPr>
            <w:tcW w:w="2608" w:type="dxa"/>
            <w:tcBorders>
              <w:top w:val="nil"/>
              <w:left w:val="nil"/>
              <w:bottom w:val="nil"/>
              <w:right w:val="nil"/>
            </w:tcBorders>
            <w:tcMar>
              <w:top w:w="0" w:type="dxa"/>
              <w:left w:w="60" w:type="dxa"/>
              <w:bottom w:w="0" w:type="dxa"/>
              <w:right w:w="60" w:type="dxa"/>
            </w:tcMar>
            <w:vAlign w:val="bottom"/>
          </w:tcPr>
          <w:p w14:paraId="76D5502C" w14:textId="7DD73074" w:rsidR="007E6A5B" w:rsidRPr="00496099" w:rsidRDefault="007E6A5B" w:rsidP="003D4751">
            <w:pPr>
              <w:pStyle w:val="DMETW1139BIPGrowthTable"/>
              <w:rPr>
                <w:b w:val="0"/>
              </w:rPr>
            </w:pPr>
            <w:r w:rsidRPr="00496099">
              <w:rPr>
                <w:b w:val="0"/>
              </w:rPr>
              <w:t>Αναπτυγμένες αγορές</w:t>
            </w:r>
          </w:p>
        </w:tc>
        <w:tc>
          <w:tcPr>
            <w:tcW w:w="1168" w:type="dxa"/>
            <w:tcBorders>
              <w:top w:val="nil"/>
              <w:left w:val="nil"/>
              <w:bottom w:val="nil"/>
              <w:right w:val="nil"/>
            </w:tcBorders>
            <w:tcMar>
              <w:top w:w="0" w:type="dxa"/>
              <w:left w:w="60" w:type="dxa"/>
              <w:bottom w:w="0" w:type="dxa"/>
              <w:right w:w="60" w:type="dxa"/>
            </w:tcMar>
            <w:vAlign w:val="center"/>
          </w:tcPr>
          <w:p w14:paraId="70719201" w14:textId="68F1A153" w:rsidR="007E6A5B" w:rsidRPr="00496099" w:rsidRDefault="007E6A5B" w:rsidP="003D4751">
            <w:pPr>
              <w:pStyle w:val="DMETW1139BIPGrowthTable"/>
              <w:jc w:val="center"/>
              <w:rPr>
                <w:b w:val="0"/>
                <w:lang w:val="en-GB"/>
              </w:rPr>
            </w:pPr>
            <w:r w:rsidRPr="00496099">
              <w:rPr>
                <w:b w:val="0"/>
                <w:lang w:val="en-GB"/>
              </w:rPr>
              <w:t>18</w:t>
            </w:r>
            <w:r w:rsidR="005061CE">
              <w:rPr>
                <w:b w:val="0"/>
              </w:rPr>
              <w:t>,</w:t>
            </w:r>
            <w:r w:rsidRPr="00496099">
              <w:rPr>
                <w:b w:val="0"/>
                <w:lang w:val="en-GB"/>
              </w:rPr>
              <w:t>2</w:t>
            </w:r>
          </w:p>
        </w:tc>
        <w:tc>
          <w:tcPr>
            <w:tcW w:w="1259" w:type="dxa"/>
            <w:tcBorders>
              <w:top w:val="nil"/>
              <w:left w:val="nil"/>
              <w:bottom w:val="nil"/>
              <w:right w:val="nil"/>
            </w:tcBorders>
            <w:tcMar>
              <w:top w:w="0" w:type="dxa"/>
              <w:left w:w="60" w:type="dxa"/>
              <w:bottom w:w="0" w:type="dxa"/>
              <w:right w:w="60" w:type="dxa"/>
            </w:tcMar>
            <w:vAlign w:val="center"/>
          </w:tcPr>
          <w:p w14:paraId="4FFB3177" w14:textId="18C6CCEA" w:rsidR="007E6A5B" w:rsidRPr="00496099" w:rsidRDefault="007E6A5B" w:rsidP="003D4751">
            <w:pPr>
              <w:pStyle w:val="DMETW1139BIPGrowthTable"/>
              <w:jc w:val="center"/>
              <w:rPr>
                <w:b w:val="0"/>
                <w:lang w:val="en-GB"/>
              </w:rPr>
            </w:pPr>
            <w:r w:rsidRPr="00496099">
              <w:rPr>
                <w:b w:val="0"/>
                <w:lang w:val="en-GB"/>
              </w:rPr>
              <w:t>19</w:t>
            </w:r>
            <w:r w:rsidR="005061CE">
              <w:rPr>
                <w:b w:val="0"/>
              </w:rPr>
              <w:t>,</w:t>
            </w:r>
            <w:r w:rsidRPr="00496099">
              <w:rPr>
                <w:b w:val="0"/>
                <w:lang w:val="en-GB"/>
              </w:rPr>
              <w:t>5</w:t>
            </w:r>
          </w:p>
        </w:tc>
        <w:tc>
          <w:tcPr>
            <w:tcW w:w="1169" w:type="dxa"/>
            <w:tcBorders>
              <w:top w:val="nil"/>
              <w:left w:val="nil"/>
              <w:bottom w:val="nil"/>
              <w:right w:val="nil"/>
            </w:tcBorders>
            <w:tcMar>
              <w:top w:w="0" w:type="dxa"/>
              <w:left w:w="60" w:type="dxa"/>
              <w:bottom w:w="0" w:type="dxa"/>
              <w:right w:w="60" w:type="dxa"/>
            </w:tcMar>
            <w:vAlign w:val="center"/>
          </w:tcPr>
          <w:p w14:paraId="72A57ADE" w14:textId="1DAFE5BB" w:rsidR="007E6A5B" w:rsidRPr="00496099" w:rsidRDefault="007E6A5B" w:rsidP="003D4751">
            <w:pPr>
              <w:pStyle w:val="DMETW1139BIPGrowthTable"/>
              <w:jc w:val="center"/>
              <w:rPr>
                <w:b w:val="0"/>
                <w:lang w:val="en-GB"/>
              </w:rPr>
            </w:pPr>
            <w:r w:rsidRPr="00496099">
              <w:rPr>
                <w:b w:val="0"/>
                <w:lang w:val="en-GB"/>
              </w:rPr>
              <w:t>9</w:t>
            </w:r>
            <w:r w:rsidR="005061CE">
              <w:rPr>
                <w:b w:val="0"/>
              </w:rPr>
              <w:t>,</w:t>
            </w:r>
            <w:r w:rsidRPr="00496099">
              <w:rPr>
                <w:b w:val="0"/>
                <w:lang w:val="en-GB"/>
              </w:rPr>
              <w:t>6</w:t>
            </w:r>
          </w:p>
        </w:tc>
        <w:tc>
          <w:tcPr>
            <w:tcW w:w="1169" w:type="dxa"/>
            <w:tcBorders>
              <w:top w:val="nil"/>
              <w:left w:val="nil"/>
              <w:bottom w:val="nil"/>
              <w:right w:val="nil"/>
            </w:tcBorders>
            <w:tcMar>
              <w:top w:w="0" w:type="dxa"/>
              <w:left w:w="60" w:type="dxa"/>
              <w:bottom w:w="0" w:type="dxa"/>
              <w:right w:w="60" w:type="dxa"/>
            </w:tcMar>
            <w:vAlign w:val="center"/>
          </w:tcPr>
          <w:p w14:paraId="51679248" w14:textId="000CFDAC" w:rsidR="007E6A5B" w:rsidRPr="00496099" w:rsidRDefault="007E6A5B" w:rsidP="003D4751">
            <w:pPr>
              <w:pStyle w:val="DMETW1139BIPGrowthTable"/>
              <w:jc w:val="center"/>
              <w:rPr>
                <w:b w:val="0"/>
                <w:lang w:val="en-GB"/>
              </w:rPr>
            </w:pPr>
            <w:r w:rsidRPr="00496099">
              <w:rPr>
                <w:b w:val="0"/>
                <w:lang w:val="en-GB"/>
              </w:rPr>
              <w:t>9</w:t>
            </w:r>
            <w:r w:rsidR="005061CE">
              <w:rPr>
                <w:b w:val="0"/>
              </w:rPr>
              <w:t>,</w:t>
            </w:r>
            <w:r w:rsidRPr="00496099">
              <w:rPr>
                <w:b w:val="0"/>
                <w:lang w:val="en-GB"/>
              </w:rPr>
              <w:t>6</w:t>
            </w:r>
          </w:p>
        </w:tc>
        <w:tc>
          <w:tcPr>
            <w:tcW w:w="1079" w:type="dxa"/>
            <w:tcBorders>
              <w:top w:val="nil"/>
              <w:left w:val="nil"/>
              <w:bottom w:val="nil"/>
              <w:right w:val="nil"/>
            </w:tcBorders>
            <w:tcMar>
              <w:top w:w="0" w:type="dxa"/>
              <w:left w:w="60" w:type="dxa"/>
              <w:bottom w:w="0" w:type="dxa"/>
              <w:right w:w="60" w:type="dxa"/>
            </w:tcMar>
            <w:vAlign w:val="center"/>
          </w:tcPr>
          <w:p w14:paraId="0D63A2E9" w14:textId="0D6C4E95" w:rsidR="007E6A5B" w:rsidRPr="00496099" w:rsidRDefault="007E6A5B" w:rsidP="003D4751">
            <w:pPr>
              <w:pStyle w:val="DMETW1139BIPGrowthTable"/>
              <w:jc w:val="center"/>
              <w:rPr>
                <w:b w:val="0"/>
                <w:lang w:val="en-GB"/>
              </w:rPr>
            </w:pPr>
            <w:r w:rsidRPr="00496099">
              <w:rPr>
                <w:b w:val="0"/>
                <w:lang w:val="en-GB"/>
              </w:rPr>
              <w:t>7</w:t>
            </w:r>
            <w:r w:rsidR="005061CE">
              <w:rPr>
                <w:b w:val="0"/>
              </w:rPr>
              <w:t>,</w:t>
            </w:r>
            <w:r w:rsidRPr="00496099">
              <w:rPr>
                <w:b w:val="0"/>
                <w:lang w:val="en-GB"/>
              </w:rPr>
              <w:t>9</w:t>
            </w:r>
          </w:p>
        </w:tc>
        <w:tc>
          <w:tcPr>
            <w:tcW w:w="1349" w:type="dxa"/>
            <w:tcBorders>
              <w:top w:val="nil"/>
              <w:left w:val="nil"/>
              <w:bottom w:val="nil"/>
              <w:right w:val="nil"/>
            </w:tcBorders>
            <w:tcMar>
              <w:top w:w="0" w:type="dxa"/>
              <w:left w:w="60" w:type="dxa"/>
              <w:bottom w:w="0" w:type="dxa"/>
              <w:right w:w="60" w:type="dxa"/>
            </w:tcMar>
            <w:vAlign w:val="center"/>
          </w:tcPr>
          <w:p w14:paraId="426D7473" w14:textId="0F0F6C38" w:rsidR="007E6A5B" w:rsidRPr="00496099" w:rsidRDefault="007E6A5B" w:rsidP="003D4751">
            <w:pPr>
              <w:pStyle w:val="DMETW1139BIPGrowthTable"/>
              <w:jc w:val="center"/>
              <w:rPr>
                <w:b w:val="0"/>
                <w:lang w:val="en-GB"/>
              </w:rPr>
            </w:pPr>
            <w:r w:rsidRPr="00496099">
              <w:rPr>
                <w:b w:val="0"/>
                <w:lang w:val="en-GB"/>
              </w:rPr>
              <w:t>9</w:t>
            </w:r>
            <w:r w:rsidR="005061CE">
              <w:rPr>
                <w:b w:val="0"/>
              </w:rPr>
              <w:t>,</w:t>
            </w:r>
            <w:r w:rsidRPr="00496099">
              <w:rPr>
                <w:b w:val="0"/>
                <w:lang w:val="en-GB"/>
              </w:rPr>
              <w:t>1</w:t>
            </w:r>
          </w:p>
        </w:tc>
      </w:tr>
      <w:tr w:rsidR="007E6A5B" w:rsidRPr="00496099" w14:paraId="366E5ACB" w14:textId="77777777" w:rsidTr="003D4751">
        <w:trPr>
          <w:trHeight w:hRule="exact" w:val="264"/>
        </w:trPr>
        <w:tc>
          <w:tcPr>
            <w:tcW w:w="2608" w:type="dxa"/>
            <w:tcBorders>
              <w:top w:val="nil"/>
              <w:left w:val="nil"/>
              <w:bottom w:val="nil"/>
              <w:right w:val="nil"/>
            </w:tcBorders>
            <w:tcMar>
              <w:top w:w="0" w:type="dxa"/>
              <w:left w:w="60" w:type="dxa"/>
              <w:bottom w:w="0" w:type="dxa"/>
              <w:right w:w="60" w:type="dxa"/>
            </w:tcMar>
            <w:vAlign w:val="bottom"/>
          </w:tcPr>
          <w:p w14:paraId="6E1D7B92" w14:textId="77777777" w:rsidR="007E6A5B" w:rsidRPr="00496099" w:rsidRDefault="007E6A5B" w:rsidP="003D4751">
            <w:pPr>
              <w:pStyle w:val="DMETW1139BIPGrowthTable"/>
              <w:rPr>
                <w:b w:val="0"/>
              </w:rPr>
            </w:pPr>
            <w:r w:rsidRPr="00496099">
              <w:rPr>
                <w:b w:val="0"/>
              </w:rPr>
              <w:t>Αναπτυσσόμενες αγορές</w:t>
            </w:r>
          </w:p>
        </w:tc>
        <w:tc>
          <w:tcPr>
            <w:tcW w:w="1168" w:type="dxa"/>
            <w:tcBorders>
              <w:top w:val="nil"/>
              <w:left w:val="nil"/>
              <w:bottom w:val="nil"/>
              <w:right w:val="nil"/>
            </w:tcBorders>
            <w:tcMar>
              <w:top w:w="0" w:type="dxa"/>
              <w:left w:w="60" w:type="dxa"/>
              <w:bottom w:w="0" w:type="dxa"/>
              <w:right w:w="60" w:type="dxa"/>
            </w:tcMar>
            <w:vAlign w:val="center"/>
          </w:tcPr>
          <w:p w14:paraId="7C1A7244" w14:textId="5DB7696B" w:rsidR="007E6A5B" w:rsidRPr="00496099" w:rsidRDefault="007E6A5B" w:rsidP="003D4751">
            <w:pPr>
              <w:pStyle w:val="DMETW1139BIPGrowthTable"/>
              <w:jc w:val="center"/>
              <w:rPr>
                <w:b w:val="0"/>
                <w:lang w:val="en-GB"/>
              </w:rPr>
            </w:pPr>
            <w:r w:rsidRPr="00496099">
              <w:rPr>
                <w:b w:val="0"/>
                <w:lang w:val="en-GB"/>
              </w:rPr>
              <w:t>40</w:t>
            </w:r>
            <w:r w:rsidR="005061CE">
              <w:rPr>
                <w:b w:val="0"/>
              </w:rPr>
              <w:t>,</w:t>
            </w:r>
            <w:r w:rsidRPr="00496099">
              <w:rPr>
                <w:b w:val="0"/>
                <w:lang w:val="en-GB"/>
              </w:rPr>
              <w:t>5</w:t>
            </w:r>
          </w:p>
        </w:tc>
        <w:tc>
          <w:tcPr>
            <w:tcW w:w="1259" w:type="dxa"/>
            <w:tcBorders>
              <w:top w:val="nil"/>
              <w:left w:val="nil"/>
              <w:bottom w:val="nil"/>
              <w:right w:val="nil"/>
            </w:tcBorders>
            <w:tcMar>
              <w:top w:w="0" w:type="dxa"/>
              <w:left w:w="60" w:type="dxa"/>
              <w:bottom w:w="0" w:type="dxa"/>
              <w:right w:w="60" w:type="dxa"/>
            </w:tcMar>
            <w:vAlign w:val="center"/>
          </w:tcPr>
          <w:p w14:paraId="1D9EA001" w14:textId="605403AE" w:rsidR="007E6A5B" w:rsidRPr="00496099" w:rsidRDefault="007E6A5B" w:rsidP="003D4751">
            <w:pPr>
              <w:pStyle w:val="DMETW1139BIPGrowthTable"/>
              <w:jc w:val="center"/>
              <w:rPr>
                <w:b w:val="0"/>
                <w:lang w:val="en-GB"/>
              </w:rPr>
            </w:pPr>
            <w:r w:rsidRPr="00496099">
              <w:rPr>
                <w:b w:val="0"/>
                <w:lang w:val="en-GB"/>
              </w:rPr>
              <w:t>40</w:t>
            </w:r>
            <w:r w:rsidR="005061CE">
              <w:rPr>
                <w:b w:val="0"/>
              </w:rPr>
              <w:t>,</w:t>
            </w:r>
            <w:r w:rsidRPr="00496099">
              <w:rPr>
                <w:b w:val="0"/>
                <w:lang w:val="en-GB"/>
              </w:rPr>
              <w:t>2</w:t>
            </w:r>
          </w:p>
        </w:tc>
        <w:tc>
          <w:tcPr>
            <w:tcW w:w="1169" w:type="dxa"/>
            <w:tcBorders>
              <w:top w:val="nil"/>
              <w:left w:val="nil"/>
              <w:bottom w:val="nil"/>
              <w:right w:val="nil"/>
            </w:tcBorders>
            <w:tcMar>
              <w:top w:w="0" w:type="dxa"/>
              <w:left w:w="60" w:type="dxa"/>
              <w:bottom w:w="0" w:type="dxa"/>
              <w:right w:w="60" w:type="dxa"/>
            </w:tcMar>
            <w:vAlign w:val="center"/>
          </w:tcPr>
          <w:p w14:paraId="696CFF3B" w14:textId="121E21BA" w:rsidR="007E6A5B" w:rsidRPr="00496099" w:rsidRDefault="007E6A5B" w:rsidP="003D4751">
            <w:pPr>
              <w:pStyle w:val="DMETW1139BIPGrowthTable"/>
              <w:jc w:val="center"/>
              <w:rPr>
                <w:b w:val="0"/>
                <w:lang w:val="en-GB"/>
              </w:rPr>
            </w:pPr>
            <w:r w:rsidRPr="00496099">
              <w:rPr>
                <w:b w:val="0"/>
                <w:lang w:val="en-GB"/>
              </w:rPr>
              <w:t>24</w:t>
            </w:r>
            <w:r w:rsidR="005061CE">
              <w:rPr>
                <w:b w:val="0"/>
              </w:rPr>
              <w:t>,</w:t>
            </w:r>
            <w:r w:rsidRPr="00496099">
              <w:rPr>
                <w:b w:val="0"/>
                <w:lang w:val="en-GB"/>
              </w:rPr>
              <w:t>0</w:t>
            </w:r>
          </w:p>
        </w:tc>
        <w:tc>
          <w:tcPr>
            <w:tcW w:w="1169" w:type="dxa"/>
            <w:tcBorders>
              <w:top w:val="nil"/>
              <w:left w:val="nil"/>
              <w:bottom w:val="nil"/>
              <w:right w:val="nil"/>
            </w:tcBorders>
            <w:tcMar>
              <w:top w:w="0" w:type="dxa"/>
              <w:left w:w="60" w:type="dxa"/>
              <w:bottom w:w="0" w:type="dxa"/>
              <w:right w:w="60" w:type="dxa"/>
            </w:tcMar>
            <w:vAlign w:val="center"/>
          </w:tcPr>
          <w:p w14:paraId="15887578" w14:textId="140220C9" w:rsidR="007E6A5B" w:rsidRPr="00496099" w:rsidRDefault="007E6A5B" w:rsidP="003D4751">
            <w:pPr>
              <w:pStyle w:val="DMETW1139BIPGrowthTable"/>
              <w:jc w:val="center"/>
              <w:rPr>
                <w:b w:val="0"/>
                <w:lang w:val="en-GB"/>
              </w:rPr>
            </w:pPr>
            <w:r w:rsidRPr="00496099">
              <w:rPr>
                <w:b w:val="0"/>
                <w:lang w:val="en-GB"/>
              </w:rPr>
              <w:t>2</w:t>
            </w:r>
            <w:r w:rsidR="005061CE">
              <w:rPr>
                <w:b w:val="0"/>
              </w:rPr>
              <w:t>4,</w:t>
            </w:r>
            <w:r w:rsidRPr="00496099">
              <w:rPr>
                <w:b w:val="0"/>
                <w:lang w:val="en-GB"/>
              </w:rPr>
              <w:t>0</w:t>
            </w:r>
          </w:p>
        </w:tc>
        <w:tc>
          <w:tcPr>
            <w:tcW w:w="1079" w:type="dxa"/>
            <w:tcBorders>
              <w:top w:val="nil"/>
              <w:left w:val="nil"/>
              <w:bottom w:val="nil"/>
              <w:right w:val="nil"/>
            </w:tcBorders>
            <w:tcMar>
              <w:top w:w="0" w:type="dxa"/>
              <w:left w:w="60" w:type="dxa"/>
              <w:bottom w:w="0" w:type="dxa"/>
              <w:right w:w="60" w:type="dxa"/>
            </w:tcMar>
            <w:vAlign w:val="center"/>
          </w:tcPr>
          <w:p w14:paraId="2F0F39D0" w14:textId="30B08827" w:rsidR="007E6A5B" w:rsidRPr="00496099" w:rsidRDefault="007E6A5B" w:rsidP="003D4751">
            <w:pPr>
              <w:pStyle w:val="DMETW1139BIPGrowthTable"/>
              <w:jc w:val="center"/>
              <w:rPr>
                <w:b w:val="0"/>
                <w:lang w:val="en-GB"/>
              </w:rPr>
            </w:pPr>
            <w:r w:rsidRPr="00496099">
              <w:rPr>
                <w:b w:val="0"/>
                <w:lang w:val="en-GB"/>
              </w:rPr>
              <w:t>13</w:t>
            </w:r>
            <w:r w:rsidR="005061CE">
              <w:rPr>
                <w:b w:val="0"/>
              </w:rPr>
              <w:t>,</w:t>
            </w:r>
            <w:r w:rsidRPr="00496099">
              <w:rPr>
                <w:b w:val="0"/>
                <w:lang w:val="en-GB"/>
              </w:rPr>
              <w:t>3</w:t>
            </w:r>
          </w:p>
        </w:tc>
        <w:tc>
          <w:tcPr>
            <w:tcW w:w="1349" w:type="dxa"/>
            <w:tcBorders>
              <w:top w:val="nil"/>
              <w:left w:val="nil"/>
              <w:bottom w:val="nil"/>
              <w:right w:val="nil"/>
            </w:tcBorders>
            <w:tcMar>
              <w:top w:w="0" w:type="dxa"/>
              <w:left w:w="60" w:type="dxa"/>
              <w:bottom w:w="0" w:type="dxa"/>
              <w:right w:w="60" w:type="dxa"/>
            </w:tcMar>
            <w:vAlign w:val="center"/>
          </w:tcPr>
          <w:p w14:paraId="7629A365" w14:textId="7F63FE6E" w:rsidR="007E6A5B" w:rsidRPr="00496099" w:rsidRDefault="007E6A5B" w:rsidP="003D4751">
            <w:pPr>
              <w:pStyle w:val="DMETW1139BIPGrowthTable"/>
              <w:jc w:val="center"/>
              <w:rPr>
                <w:b w:val="0"/>
                <w:lang w:val="en-GB"/>
              </w:rPr>
            </w:pPr>
            <w:r w:rsidRPr="00496099">
              <w:rPr>
                <w:b w:val="0"/>
                <w:lang w:val="en-GB"/>
              </w:rPr>
              <w:t>13</w:t>
            </w:r>
            <w:r w:rsidR="005061CE">
              <w:rPr>
                <w:b w:val="0"/>
              </w:rPr>
              <w:t>,</w:t>
            </w:r>
            <w:r w:rsidRPr="00496099">
              <w:rPr>
                <w:b w:val="0"/>
                <w:lang w:val="en-GB"/>
              </w:rPr>
              <w:t>1</w:t>
            </w:r>
          </w:p>
        </w:tc>
      </w:tr>
      <w:tr w:rsidR="007E6A5B" w:rsidRPr="00496099" w14:paraId="1E9B41B4" w14:textId="77777777" w:rsidTr="003D4751">
        <w:trPr>
          <w:trHeight w:hRule="exact" w:val="276"/>
        </w:trPr>
        <w:tc>
          <w:tcPr>
            <w:tcW w:w="2608" w:type="dxa"/>
            <w:tcBorders>
              <w:top w:val="nil"/>
              <w:left w:val="nil"/>
              <w:bottom w:val="inset" w:sz="12" w:space="0" w:color="000000"/>
              <w:right w:val="nil"/>
            </w:tcBorders>
            <w:tcMar>
              <w:top w:w="0" w:type="dxa"/>
              <w:left w:w="60" w:type="dxa"/>
              <w:bottom w:w="0" w:type="dxa"/>
              <w:right w:w="60" w:type="dxa"/>
            </w:tcMar>
            <w:vAlign w:val="bottom"/>
          </w:tcPr>
          <w:p w14:paraId="429DF663" w14:textId="77777777" w:rsidR="007E6A5B" w:rsidRPr="00496099" w:rsidRDefault="007E6A5B" w:rsidP="003D4751">
            <w:pPr>
              <w:pStyle w:val="DMETW1139BIPGrowthTable"/>
              <w:rPr>
                <w:b w:val="0"/>
              </w:rPr>
            </w:pPr>
            <w:r w:rsidRPr="00496099">
              <w:rPr>
                <w:b w:val="0"/>
              </w:rPr>
              <w:t>Αναδυόμενες αγορές</w:t>
            </w:r>
          </w:p>
        </w:tc>
        <w:tc>
          <w:tcPr>
            <w:tcW w:w="1168" w:type="dxa"/>
            <w:tcBorders>
              <w:top w:val="nil"/>
              <w:left w:val="nil"/>
              <w:bottom w:val="inset" w:sz="12" w:space="0" w:color="000000"/>
              <w:right w:val="nil"/>
            </w:tcBorders>
            <w:tcMar>
              <w:top w:w="0" w:type="dxa"/>
              <w:left w:w="60" w:type="dxa"/>
              <w:bottom w:w="0" w:type="dxa"/>
              <w:right w:w="60" w:type="dxa"/>
            </w:tcMar>
            <w:vAlign w:val="center"/>
          </w:tcPr>
          <w:p w14:paraId="4102093C" w14:textId="3A24BFFE" w:rsidR="007E6A5B" w:rsidRPr="00496099" w:rsidRDefault="007E6A5B" w:rsidP="003D4751">
            <w:pPr>
              <w:pStyle w:val="DMETW1139BIPGrowthTable"/>
              <w:jc w:val="center"/>
              <w:rPr>
                <w:b w:val="0"/>
                <w:lang w:val="en-GB"/>
              </w:rPr>
            </w:pPr>
            <w:r w:rsidRPr="00496099">
              <w:rPr>
                <w:b w:val="0"/>
                <w:lang w:val="en-GB"/>
              </w:rPr>
              <w:t>22</w:t>
            </w:r>
            <w:r w:rsidR="005061CE">
              <w:rPr>
                <w:b w:val="0"/>
              </w:rPr>
              <w:t>,</w:t>
            </w:r>
            <w:r w:rsidRPr="00496099">
              <w:rPr>
                <w:b w:val="0"/>
                <w:lang w:val="en-GB"/>
              </w:rPr>
              <w:t>7</w:t>
            </w:r>
          </w:p>
        </w:tc>
        <w:tc>
          <w:tcPr>
            <w:tcW w:w="1259" w:type="dxa"/>
            <w:tcBorders>
              <w:top w:val="nil"/>
              <w:left w:val="nil"/>
              <w:bottom w:val="inset" w:sz="12" w:space="0" w:color="000000"/>
              <w:right w:val="nil"/>
            </w:tcBorders>
            <w:tcMar>
              <w:top w:w="0" w:type="dxa"/>
              <w:left w:w="60" w:type="dxa"/>
              <w:bottom w:w="0" w:type="dxa"/>
              <w:right w:w="60" w:type="dxa"/>
            </w:tcMar>
            <w:vAlign w:val="center"/>
          </w:tcPr>
          <w:p w14:paraId="06291167" w14:textId="2EE63AD5" w:rsidR="007E6A5B" w:rsidRPr="00496099" w:rsidRDefault="007E6A5B" w:rsidP="003D4751">
            <w:pPr>
              <w:pStyle w:val="DMETW1139BIPGrowthTable"/>
              <w:jc w:val="center"/>
              <w:rPr>
                <w:b w:val="0"/>
                <w:lang w:val="en-GB"/>
              </w:rPr>
            </w:pPr>
            <w:r w:rsidRPr="00496099">
              <w:rPr>
                <w:b w:val="0"/>
                <w:lang w:val="en-GB"/>
              </w:rPr>
              <w:t>36</w:t>
            </w:r>
            <w:r w:rsidR="005061CE">
              <w:rPr>
                <w:b w:val="0"/>
              </w:rPr>
              <w:t>,</w:t>
            </w:r>
            <w:r w:rsidRPr="00496099">
              <w:rPr>
                <w:b w:val="0"/>
                <w:lang w:val="en-GB"/>
              </w:rPr>
              <w:t>2</w:t>
            </w:r>
          </w:p>
        </w:tc>
        <w:tc>
          <w:tcPr>
            <w:tcW w:w="1169" w:type="dxa"/>
            <w:tcBorders>
              <w:top w:val="nil"/>
              <w:left w:val="nil"/>
              <w:bottom w:val="inset" w:sz="12" w:space="0" w:color="000000"/>
              <w:right w:val="nil"/>
            </w:tcBorders>
            <w:tcMar>
              <w:top w:w="0" w:type="dxa"/>
              <w:left w:w="60" w:type="dxa"/>
              <w:bottom w:w="0" w:type="dxa"/>
              <w:right w:w="60" w:type="dxa"/>
            </w:tcMar>
            <w:vAlign w:val="center"/>
          </w:tcPr>
          <w:p w14:paraId="708D3E48" w14:textId="516BC2C3" w:rsidR="007E6A5B" w:rsidRPr="00496099" w:rsidRDefault="007E6A5B" w:rsidP="003D4751">
            <w:pPr>
              <w:pStyle w:val="DMETW1139BIPGrowthTable"/>
              <w:jc w:val="center"/>
              <w:rPr>
                <w:b w:val="0"/>
                <w:lang w:val="en-GB"/>
              </w:rPr>
            </w:pPr>
            <w:r w:rsidRPr="00496099">
              <w:rPr>
                <w:b w:val="0"/>
                <w:lang w:val="en-GB"/>
              </w:rPr>
              <w:t>8</w:t>
            </w:r>
            <w:r w:rsidR="005061CE">
              <w:rPr>
                <w:b w:val="0"/>
              </w:rPr>
              <w:t>,</w:t>
            </w:r>
            <w:r w:rsidRPr="00496099">
              <w:rPr>
                <w:b w:val="0"/>
                <w:lang w:val="en-GB"/>
              </w:rPr>
              <w:t>5</w:t>
            </w:r>
          </w:p>
        </w:tc>
        <w:tc>
          <w:tcPr>
            <w:tcW w:w="1169" w:type="dxa"/>
            <w:tcBorders>
              <w:top w:val="nil"/>
              <w:left w:val="nil"/>
              <w:bottom w:val="inset" w:sz="12" w:space="0" w:color="000000"/>
              <w:right w:val="nil"/>
            </w:tcBorders>
            <w:tcMar>
              <w:top w:w="0" w:type="dxa"/>
              <w:left w:w="60" w:type="dxa"/>
              <w:bottom w:w="0" w:type="dxa"/>
              <w:right w:w="60" w:type="dxa"/>
            </w:tcMar>
            <w:vAlign w:val="center"/>
          </w:tcPr>
          <w:p w14:paraId="759B5440" w14:textId="2E1B9453" w:rsidR="007E6A5B" w:rsidRPr="00496099" w:rsidRDefault="007E6A5B" w:rsidP="003D4751">
            <w:pPr>
              <w:pStyle w:val="DMETW1139BIPGrowthTable"/>
              <w:jc w:val="center"/>
              <w:rPr>
                <w:b w:val="0"/>
                <w:lang w:val="en-GB"/>
              </w:rPr>
            </w:pPr>
            <w:r w:rsidRPr="00496099">
              <w:rPr>
                <w:b w:val="0"/>
                <w:lang w:val="en-GB"/>
              </w:rPr>
              <w:t>28</w:t>
            </w:r>
            <w:r w:rsidR="005061CE">
              <w:rPr>
                <w:b w:val="0"/>
              </w:rPr>
              <w:t>,</w:t>
            </w:r>
            <w:r w:rsidRPr="00496099">
              <w:rPr>
                <w:b w:val="0"/>
                <w:lang w:val="en-GB"/>
              </w:rPr>
              <w:t>8</w:t>
            </w:r>
          </w:p>
        </w:tc>
        <w:tc>
          <w:tcPr>
            <w:tcW w:w="1079" w:type="dxa"/>
            <w:tcBorders>
              <w:top w:val="nil"/>
              <w:left w:val="nil"/>
              <w:bottom w:val="inset" w:sz="12" w:space="0" w:color="000000"/>
              <w:right w:val="nil"/>
            </w:tcBorders>
            <w:tcMar>
              <w:top w:w="0" w:type="dxa"/>
              <w:left w:w="60" w:type="dxa"/>
              <w:bottom w:w="0" w:type="dxa"/>
              <w:right w:w="60" w:type="dxa"/>
            </w:tcMar>
            <w:vAlign w:val="center"/>
          </w:tcPr>
          <w:p w14:paraId="62FC2471" w14:textId="7315F3B0" w:rsidR="007E6A5B" w:rsidRPr="00496099" w:rsidRDefault="007E6A5B" w:rsidP="003D4751">
            <w:pPr>
              <w:pStyle w:val="DMETW1139BIPGrowthTable"/>
              <w:jc w:val="center"/>
              <w:rPr>
                <w:b w:val="0"/>
                <w:lang w:val="en-GB"/>
              </w:rPr>
            </w:pPr>
            <w:r w:rsidRPr="00496099">
              <w:rPr>
                <w:b w:val="0"/>
                <w:lang w:val="en-GB"/>
              </w:rPr>
              <w:t>13</w:t>
            </w:r>
            <w:r w:rsidR="005061CE">
              <w:rPr>
                <w:b w:val="0"/>
              </w:rPr>
              <w:t>,</w:t>
            </w:r>
            <w:r w:rsidRPr="00496099">
              <w:rPr>
                <w:b w:val="0"/>
                <w:lang w:val="en-GB"/>
              </w:rPr>
              <w:t>1</w:t>
            </w:r>
          </w:p>
        </w:tc>
        <w:tc>
          <w:tcPr>
            <w:tcW w:w="1349" w:type="dxa"/>
            <w:tcBorders>
              <w:top w:val="nil"/>
              <w:left w:val="nil"/>
              <w:bottom w:val="inset" w:sz="12" w:space="0" w:color="000000"/>
              <w:right w:val="nil"/>
            </w:tcBorders>
            <w:tcMar>
              <w:top w:w="0" w:type="dxa"/>
              <w:left w:w="60" w:type="dxa"/>
              <w:bottom w:w="0" w:type="dxa"/>
              <w:right w:w="60" w:type="dxa"/>
            </w:tcMar>
            <w:vAlign w:val="center"/>
          </w:tcPr>
          <w:p w14:paraId="7E0EF35D" w14:textId="2C32A857" w:rsidR="007E6A5B" w:rsidRPr="00496099" w:rsidRDefault="007E6A5B" w:rsidP="003D4751">
            <w:pPr>
              <w:pStyle w:val="DMETW1139BIPGrowthTable"/>
              <w:jc w:val="center"/>
              <w:rPr>
                <w:b w:val="0"/>
                <w:lang w:val="en-GB"/>
              </w:rPr>
            </w:pPr>
            <w:r w:rsidRPr="00496099">
              <w:rPr>
                <w:b w:val="0"/>
                <w:lang w:val="en-GB"/>
              </w:rPr>
              <w:t>58</w:t>
            </w:r>
          </w:p>
        </w:tc>
      </w:tr>
    </w:tbl>
    <w:p w14:paraId="44E206A3" w14:textId="77777777" w:rsidR="004169A0" w:rsidRPr="004F67C8" w:rsidRDefault="004169A0" w:rsidP="004169A0">
      <w:pPr>
        <w:pStyle w:val="Footer"/>
        <w:tabs>
          <w:tab w:val="clear" w:pos="4320"/>
          <w:tab w:val="clear" w:pos="8640"/>
        </w:tabs>
        <w:spacing w:line="12" w:lineRule="atLeast"/>
        <w:rPr>
          <w:rFonts w:ascii="Effra Corp" w:hAnsi="Effra Corp" w:cs="Arial"/>
          <w:bCs/>
          <w:spacing w:val="-2"/>
          <w:sz w:val="14"/>
          <w:szCs w:val="14"/>
          <w:lang w:val="el-GR"/>
        </w:rPr>
      </w:pPr>
    </w:p>
    <w:p w14:paraId="539A8633" w14:textId="332CEB38" w:rsidR="00A163D9" w:rsidRPr="004F67C8" w:rsidRDefault="00A163D9" w:rsidP="00A163D9">
      <w:pPr>
        <w:autoSpaceDE w:val="0"/>
        <w:autoSpaceDN w:val="0"/>
        <w:adjustRightInd w:val="0"/>
        <w:jc w:val="both"/>
        <w:rPr>
          <w:rFonts w:ascii="Effra Corp" w:hAnsi="Effra Corp" w:cs="Arial"/>
          <w:b/>
          <w:bCs/>
          <w:i/>
          <w:iCs/>
          <w:color w:val="C00000"/>
          <w:spacing w:val="-2"/>
          <w:sz w:val="12"/>
          <w:szCs w:val="12"/>
          <w:lang w:val="el-GR"/>
        </w:rPr>
      </w:pPr>
      <w:r w:rsidRPr="004F67C8">
        <w:rPr>
          <w:rFonts w:ascii="Effra Corp" w:eastAsia="Effra Corp" w:hAnsi="Effra Corp" w:cs="CIDFont+F2"/>
          <w:i/>
          <w:sz w:val="12"/>
          <w:szCs w:val="12"/>
          <w:vertAlign w:val="superscript"/>
          <w:lang w:val="el-GR" w:bidi="el-GR"/>
        </w:rPr>
        <w:t>1</w:t>
      </w:r>
      <w:r w:rsidRPr="004F67C8">
        <w:rPr>
          <w:rFonts w:ascii="Effra Corp" w:eastAsia="Effra Corp" w:hAnsi="Effra Corp" w:cs="CIDFont+F2"/>
          <w:i/>
          <w:sz w:val="12"/>
          <w:szCs w:val="12"/>
          <w:lang w:val="el-GR" w:bidi="el-GR"/>
        </w:rPr>
        <w:t xml:space="preserve"> Για λεπτομέρειες επί των Εναλλακτικών δεικτών μέτρησης απόδοσης («ΕΔΜΑ»), ανατρέξτε στις ενότητες «Εναλλακτικοί Δείκτες Μέτρησης Απόδοσης» και «Ορισμοί και συμφωνίες Εναλλακτικών δεικτών μέτρησης απόδοσης» («ΕΔΜΑ»).</w:t>
      </w:r>
    </w:p>
    <w:p w14:paraId="2A933456" w14:textId="77777777" w:rsidR="008D1B65" w:rsidRPr="004F67C8" w:rsidRDefault="008D1B65" w:rsidP="004169A0">
      <w:pPr>
        <w:rPr>
          <w:rFonts w:ascii="Effra Corp" w:hAnsi="Effra Corp"/>
          <w:i/>
          <w:iCs/>
          <w:color w:val="000000"/>
          <w:sz w:val="20"/>
          <w:szCs w:val="20"/>
          <w:bdr w:val="none" w:sz="0" w:space="0" w:color="auto" w:frame="1"/>
          <w:lang w:val="el-GR"/>
          <w14:textOutline w14:w="0" w14:cap="flat" w14:cmpd="sng" w14:algn="ctr">
            <w14:noFill/>
            <w14:prstDash w14:val="solid"/>
            <w14:bevel/>
          </w14:textOutline>
        </w:rPr>
      </w:pPr>
    </w:p>
    <w:p w14:paraId="69BF7ADB" w14:textId="5A186FBE" w:rsidR="0055703A" w:rsidRPr="000978E8" w:rsidRDefault="0055703A" w:rsidP="004169A0">
      <w:pPr>
        <w:pStyle w:val="Footer"/>
        <w:spacing w:after="120" w:line="12" w:lineRule="atLeast"/>
        <w:jc w:val="both"/>
        <w:rPr>
          <w:rFonts w:ascii="Effra Corp" w:eastAsia="Effra Corp" w:hAnsi="Effra Corp" w:cs="Arial"/>
          <w:b/>
          <w:color w:val="FF0000"/>
          <w:spacing w:val="-2"/>
          <w:sz w:val="20"/>
          <w:szCs w:val="20"/>
          <w:lang w:val="el-GR" w:bidi="el-GR"/>
        </w:rPr>
      </w:pPr>
      <w:r w:rsidRPr="000978E8">
        <w:rPr>
          <w:rFonts w:ascii="Effra Corp" w:eastAsia="Effra Corp" w:hAnsi="Effra Corp" w:cs="Arial"/>
          <w:b/>
          <w:color w:val="FF0000"/>
          <w:spacing w:val="-2"/>
          <w:sz w:val="20"/>
          <w:szCs w:val="20"/>
          <w:lang w:val="el-GR" w:bidi="el-GR"/>
        </w:rPr>
        <w:t>Ουκρανία και Ρωσία</w:t>
      </w:r>
    </w:p>
    <w:p w14:paraId="38EA5381" w14:textId="1F83BEDF" w:rsidR="0055703A" w:rsidRDefault="0055703A" w:rsidP="004169A0">
      <w:pPr>
        <w:pStyle w:val="Footer"/>
        <w:spacing w:after="120" w:line="12" w:lineRule="atLeast"/>
        <w:jc w:val="both"/>
        <w:rPr>
          <w:rFonts w:ascii="Effra Corp" w:eastAsia="Calibri" w:hAnsi="Effra Corp" w:cs="Effra Corp"/>
          <w:sz w:val="20"/>
          <w:szCs w:val="20"/>
          <w:lang w:val="el-GR" w:bidi="el-GR"/>
        </w:rPr>
      </w:pPr>
      <w:r>
        <w:rPr>
          <w:rFonts w:ascii="Effra Corp" w:eastAsia="Calibri" w:hAnsi="Effra Corp" w:cs="Effra Corp"/>
          <w:sz w:val="20"/>
          <w:szCs w:val="20"/>
          <w:lang w:val="el-GR" w:bidi="el-GR"/>
        </w:rPr>
        <w:t>Η</w:t>
      </w:r>
      <w:r w:rsidRPr="0055703A">
        <w:rPr>
          <w:rFonts w:ascii="Effra Corp" w:eastAsia="Calibri" w:hAnsi="Effra Corp" w:cs="Effra Corp"/>
          <w:sz w:val="20"/>
          <w:szCs w:val="20"/>
          <w:lang w:val="el-GR" w:bidi="el-GR"/>
        </w:rPr>
        <w:t xml:space="preserve"> </w:t>
      </w:r>
      <w:r w:rsidRPr="0055703A">
        <w:rPr>
          <w:rFonts w:ascii="Effra Corp" w:eastAsia="Effra Corp" w:hAnsi="Effra Corp" w:cs="Effra Corp"/>
          <w:spacing w:val="-2"/>
          <w:sz w:val="20"/>
          <w:szCs w:val="20"/>
          <w:lang w:val="en-US" w:bidi="el-GR"/>
        </w:rPr>
        <w:t>Coca</w:t>
      </w:r>
      <w:r w:rsidRPr="0055703A">
        <w:rPr>
          <w:rFonts w:ascii="Effra Corp" w:eastAsia="Effra Corp" w:hAnsi="Effra Corp" w:cs="Effra Corp"/>
          <w:spacing w:val="-2"/>
          <w:sz w:val="20"/>
          <w:szCs w:val="20"/>
          <w:lang w:val="el-GR" w:bidi="el-GR"/>
        </w:rPr>
        <w:t>-</w:t>
      </w:r>
      <w:r w:rsidRPr="0055703A">
        <w:rPr>
          <w:rFonts w:ascii="Effra Corp" w:eastAsia="Effra Corp" w:hAnsi="Effra Corp" w:cs="Effra Corp"/>
          <w:spacing w:val="-2"/>
          <w:sz w:val="20"/>
          <w:szCs w:val="20"/>
          <w:lang w:val="en-US" w:bidi="el-GR"/>
        </w:rPr>
        <w:t>Cola</w:t>
      </w:r>
      <w:r w:rsidRPr="0055703A">
        <w:rPr>
          <w:rFonts w:ascii="Effra Corp" w:eastAsia="Effra Corp" w:hAnsi="Effra Corp" w:cs="Effra Corp"/>
          <w:spacing w:val="-2"/>
          <w:sz w:val="20"/>
          <w:szCs w:val="20"/>
          <w:lang w:val="el-GR" w:bidi="el-GR"/>
        </w:rPr>
        <w:t xml:space="preserve"> </w:t>
      </w:r>
      <w:r w:rsidRPr="0055703A">
        <w:rPr>
          <w:rFonts w:ascii="Effra Corp" w:eastAsia="Effra Corp" w:hAnsi="Effra Corp" w:cs="Effra Corp"/>
          <w:spacing w:val="-2"/>
          <w:sz w:val="20"/>
          <w:szCs w:val="20"/>
          <w:lang w:val="en-US" w:bidi="el-GR"/>
        </w:rPr>
        <w:t>HBC</w:t>
      </w:r>
      <w:r w:rsidRPr="0055703A">
        <w:rPr>
          <w:rFonts w:ascii="Effra Corp" w:eastAsia="Effra Corp" w:hAnsi="Effra Corp" w:cs="Effra Corp"/>
          <w:spacing w:val="-2"/>
          <w:sz w:val="20"/>
          <w:szCs w:val="20"/>
          <w:lang w:val="el-GR" w:bidi="el-GR"/>
        </w:rPr>
        <w:t xml:space="preserve"> </w:t>
      </w:r>
      <w:r>
        <w:rPr>
          <w:rFonts w:ascii="Effra Corp" w:eastAsia="Effra Corp" w:hAnsi="Effra Corp" w:cs="Effra Corp"/>
          <w:spacing w:val="-2"/>
          <w:sz w:val="20"/>
          <w:szCs w:val="20"/>
          <w:lang w:val="el-GR" w:bidi="el-GR"/>
        </w:rPr>
        <w:t xml:space="preserve">συνεχίζει να </w:t>
      </w:r>
      <w:r w:rsidR="0044286C">
        <w:rPr>
          <w:rFonts w:ascii="Effra Corp" w:eastAsia="Effra Corp" w:hAnsi="Effra Corp" w:cs="Effra Corp"/>
          <w:spacing w:val="-2"/>
          <w:sz w:val="20"/>
          <w:szCs w:val="20"/>
          <w:lang w:val="el-GR" w:bidi="el-GR"/>
        </w:rPr>
        <w:t xml:space="preserve">θέτει </w:t>
      </w:r>
      <w:r>
        <w:rPr>
          <w:rFonts w:ascii="Effra Corp" w:eastAsia="Effra Corp" w:hAnsi="Effra Corp" w:cs="Effra Corp"/>
          <w:spacing w:val="-2"/>
          <w:sz w:val="20"/>
          <w:szCs w:val="20"/>
          <w:lang w:val="el-GR" w:bidi="el-GR"/>
        </w:rPr>
        <w:t xml:space="preserve">σε προτεραιότητα την ασφάλεια των ανθρώπων της και των οικογενειών τους, που επλήγησαν από τη σύγκρουση. Παρέχουμε άμεση </w:t>
      </w:r>
      <w:r w:rsidRPr="00F96F1C">
        <w:rPr>
          <w:rFonts w:ascii="Effra Corp" w:eastAsia="Calibri" w:hAnsi="Effra Corp" w:cs="Effra Corp"/>
          <w:sz w:val="20"/>
          <w:szCs w:val="20"/>
          <w:lang w:val="el-GR" w:bidi="el-GR"/>
        </w:rPr>
        <w:t>οικονομική ενίσχυση στους ανθρώπους μας</w:t>
      </w:r>
      <w:r>
        <w:rPr>
          <w:rFonts w:ascii="Effra Corp" w:eastAsia="Calibri" w:hAnsi="Effra Corp" w:cs="Effra Corp"/>
          <w:sz w:val="20"/>
          <w:szCs w:val="20"/>
          <w:lang w:val="el-GR" w:bidi="el-GR"/>
        </w:rPr>
        <w:t xml:space="preserve"> στην Ουκρ</w:t>
      </w:r>
      <w:r w:rsidR="00524500">
        <w:rPr>
          <w:rFonts w:ascii="Effra Corp" w:eastAsia="Calibri" w:hAnsi="Effra Corp" w:cs="Effra Corp"/>
          <w:sz w:val="20"/>
          <w:szCs w:val="20"/>
          <w:lang w:val="el-GR" w:bidi="el-GR"/>
        </w:rPr>
        <w:t>α</w:t>
      </w:r>
      <w:r>
        <w:rPr>
          <w:rFonts w:ascii="Effra Corp" w:eastAsia="Calibri" w:hAnsi="Effra Corp" w:cs="Effra Corp"/>
          <w:sz w:val="20"/>
          <w:szCs w:val="20"/>
          <w:lang w:val="el-GR" w:bidi="el-GR"/>
        </w:rPr>
        <w:t xml:space="preserve">νία και </w:t>
      </w:r>
      <w:r w:rsidR="00876A0D">
        <w:rPr>
          <w:rFonts w:ascii="Effra Corp" w:eastAsia="Calibri" w:hAnsi="Effra Corp" w:cs="Effra Corp"/>
          <w:sz w:val="20"/>
          <w:szCs w:val="20"/>
          <w:lang w:val="el-GR" w:bidi="el-GR"/>
        </w:rPr>
        <w:t xml:space="preserve">συνεχίζουμε να συνεργαζόμαστε με το </w:t>
      </w:r>
      <w:r w:rsidR="00876A0D" w:rsidRPr="00F96F1C">
        <w:rPr>
          <w:rFonts w:ascii="Effra Corp" w:eastAsia="Calibri" w:hAnsi="Effra Corp" w:cs="Effra Corp"/>
          <w:sz w:val="20"/>
          <w:szCs w:val="20"/>
          <w:lang w:val="el-GR" w:bidi="el-GR"/>
        </w:rPr>
        <w:t xml:space="preserve">The Coca-Cola </w:t>
      </w:r>
      <w:proofErr w:type="spellStart"/>
      <w:r w:rsidR="00876A0D" w:rsidRPr="00F96F1C">
        <w:rPr>
          <w:rFonts w:ascii="Effra Corp" w:eastAsia="Calibri" w:hAnsi="Effra Corp" w:cs="Effra Corp"/>
          <w:sz w:val="20"/>
          <w:szCs w:val="20"/>
          <w:lang w:val="el-GR" w:bidi="el-GR"/>
        </w:rPr>
        <w:t>Foundation</w:t>
      </w:r>
      <w:proofErr w:type="spellEnd"/>
      <w:r w:rsidR="00876A0D">
        <w:rPr>
          <w:rFonts w:ascii="Effra Corp" w:eastAsia="Calibri" w:hAnsi="Effra Corp" w:cs="Effra Corp"/>
          <w:sz w:val="20"/>
          <w:szCs w:val="20"/>
          <w:lang w:val="el-GR" w:bidi="el-GR"/>
        </w:rPr>
        <w:t xml:space="preserve"> και τον Ερυθρό Σταυρό ώστε να παρέχουμε ανθρωπιστική βοήθεια στην περιοχή.</w:t>
      </w:r>
    </w:p>
    <w:p w14:paraId="7683C40E" w14:textId="70C75BD2" w:rsidR="0055703A" w:rsidRDefault="00876A0D" w:rsidP="004169A0">
      <w:pPr>
        <w:pStyle w:val="Footer"/>
        <w:spacing w:after="120" w:line="12" w:lineRule="atLeast"/>
        <w:jc w:val="both"/>
        <w:rPr>
          <w:rFonts w:ascii="Effra Corp" w:eastAsia="Calibri" w:hAnsi="Effra Corp" w:cs="Effra Corp"/>
          <w:sz w:val="20"/>
          <w:szCs w:val="20"/>
          <w:lang w:val="el-GR" w:bidi="el-GR"/>
        </w:rPr>
      </w:pPr>
      <w:r>
        <w:rPr>
          <w:rFonts w:ascii="Effra Corp" w:eastAsia="Calibri" w:hAnsi="Effra Corp" w:cs="Effra Corp"/>
          <w:sz w:val="20"/>
          <w:szCs w:val="20"/>
          <w:lang w:val="el-GR" w:bidi="el-GR"/>
        </w:rPr>
        <w:t xml:space="preserve">Αυτό περιλαμβάνει </w:t>
      </w:r>
      <w:r w:rsidR="00022FD6">
        <w:rPr>
          <w:rFonts w:ascii="Effra Corp" w:eastAsia="Calibri" w:hAnsi="Effra Corp" w:cs="Effra Corp"/>
          <w:sz w:val="20"/>
          <w:szCs w:val="20"/>
          <w:lang w:val="el-GR" w:bidi="el-GR"/>
        </w:rPr>
        <w:t>οικονομική στήριξη</w:t>
      </w:r>
      <w:r>
        <w:rPr>
          <w:rFonts w:ascii="Effra Corp" w:eastAsia="Calibri" w:hAnsi="Effra Corp" w:cs="Effra Corp"/>
          <w:sz w:val="20"/>
          <w:szCs w:val="20"/>
          <w:lang w:val="el-GR" w:bidi="el-GR"/>
        </w:rPr>
        <w:t xml:space="preserve"> στους ανθρώπους μας μέσω του </w:t>
      </w:r>
      <w:r>
        <w:rPr>
          <w:rFonts w:ascii="Effra Corp" w:eastAsia="Calibri" w:hAnsi="Effra Corp" w:cs="Effra Corp"/>
          <w:sz w:val="20"/>
          <w:szCs w:val="20"/>
          <w:lang w:val="en-US" w:bidi="el-GR"/>
        </w:rPr>
        <w:t>The</w:t>
      </w:r>
      <w:r w:rsidRPr="00876A0D">
        <w:rPr>
          <w:rFonts w:ascii="Effra Corp" w:eastAsia="Calibri" w:hAnsi="Effra Corp" w:cs="Effra Corp"/>
          <w:sz w:val="20"/>
          <w:szCs w:val="20"/>
          <w:lang w:val="el-GR" w:bidi="el-GR"/>
        </w:rPr>
        <w:t xml:space="preserve"> </w:t>
      </w:r>
      <w:r>
        <w:rPr>
          <w:rFonts w:ascii="Effra Corp" w:eastAsia="Calibri" w:hAnsi="Effra Corp" w:cs="Effra Corp"/>
          <w:sz w:val="20"/>
          <w:szCs w:val="20"/>
          <w:lang w:val="en-US" w:bidi="el-GR"/>
        </w:rPr>
        <w:t>Coca</w:t>
      </w:r>
      <w:r w:rsidRPr="00876A0D">
        <w:rPr>
          <w:rFonts w:ascii="Effra Corp" w:eastAsia="Calibri" w:hAnsi="Effra Corp" w:cs="Effra Corp"/>
          <w:sz w:val="20"/>
          <w:szCs w:val="20"/>
          <w:lang w:val="el-GR" w:bidi="el-GR"/>
        </w:rPr>
        <w:t>-</w:t>
      </w:r>
      <w:r>
        <w:rPr>
          <w:rFonts w:ascii="Effra Corp" w:eastAsia="Calibri" w:hAnsi="Effra Corp" w:cs="Effra Corp"/>
          <w:sz w:val="20"/>
          <w:szCs w:val="20"/>
          <w:lang w:val="en-US" w:bidi="el-GR"/>
        </w:rPr>
        <w:t>Cola</w:t>
      </w:r>
      <w:r w:rsidRPr="00876A0D">
        <w:rPr>
          <w:rFonts w:ascii="Effra Corp" w:eastAsia="Calibri" w:hAnsi="Effra Corp" w:cs="Effra Corp"/>
          <w:sz w:val="20"/>
          <w:szCs w:val="20"/>
          <w:lang w:val="el-GR" w:bidi="el-GR"/>
        </w:rPr>
        <w:t xml:space="preserve"> </w:t>
      </w:r>
      <w:r>
        <w:rPr>
          <w:rFonts w:ascii="Effra Corp" w:eastAsia="Calibri" w:hAnsi="Effra Corp" w:cs="Effra Corp"/>
          <w:sz w:val="20"/>
          <w:szCs w:val="20"/>
          <w:lang w:val="en-US" w:bidi="el-GR"/>
        </w:rPr>
        <w:t>Disaster</w:t>
      </w:r>
      <w:r w:rsidRPr="00876A0D">
        <w:rPr>
          <w:rFonts w:ascii="Effra Corp" w:eastAsia="Calibri" w:hAnsi="Effra Corp" w:cs="Effra Corp"/>
          <w:sz w:val="20"/>
          <w:szCs w:val="20"/>
          <w:lang w:val="el-GR" w:bidi="el-GR"/>
        </w:rPr>
        <w:t xml:space="preserve"> </w:t>
      </w:r>
      <w:r>
        <w:rPr>
          <w:rFonts w:ascii="Effra Corp" w:eastAsia="Calibri" w:hAnsi="Effra Corp" w:cs="Effra Corp"/>
          <w:sz w:val="20"/>
          <w:szCs w:val="20"/>
          <w:lang w:val="en-US" w:bidi="el-GR"/>
        </w:rPr>
        <w:t>Relief</w:t>
      </w:r>
      <w:r w:rsidRPr="00876A0D">
        <w:rPr>
          <w:rFonts w:ascii="Effra Corp" w:eastAsia="Calibri" w:hAnsi="Effra Corp" w:cs="Effra Corp"/>
          <w:sz w:val="20"/>
          <w:szCs w:val="20"/>
          <w:lang w:val="el-GR" w:bidi="el-GR"/>
        </w:rPr>
        <w:t xml:space="preserve"> </w:t>
      </w:r>
      <w:r>
        <w:rPr>
          <w:rFonts w:ascii="Effra Corp" w:eastAsia="Calibri" w:hAnsi="Effra Corp" w:cs="Effra Corp"/>
          <w:sz w:val="20"/>
          <w:szCs w:val="20"/>
          <w:lang w:val="el-GR" w:bidi="el-GR"/>
        </w:rPr>
        <w:t xml:space="preserve">και </w:t>
      </w:r>
      <w:r>
        <w:rPr>
          <w:rFonts w:ascii="Effra Corp" w:eastAsia="Calibri" w:hAnsi="Effra Corp" w:cs="Effra Corp"/>
          <w:sz w:val="20"/>
          <w:szCs w:val="20"/>
          <w:lang w:val="en-US" w:bidi="el-GR"/>
        </w:rPr>
        <w:t>Coca</w:t>
      </w:r>
      <w:r w:rsidRPr="00876A0D">
        <w:rPr>
          <w:rFonts w:ascii="Effra Corp" w:eastAsia="Calibri" w:hAnsi="Effra Corp" w:cs="Effra Corp"/>
          <w:sz w:val="20"/>
          <w:szCs w:val="20"/>
          <w:lang w:val="el-GR" w:bidi="el-GR"/>
        </w:rPr>
        <w:t>-</w:t>
      </w:r>
      <w:r>
        <w:rPr>
          <w:rFonts w:ascii="Effra Corp" w:eastAsia="Calibri" w:hAnsi="Effra Corp" w:cs="Effra Corp"/>
          <w:sz w:val="20"/>
          <w:szCs w:val="20"/>
          <w:lang w:val="en-US" w:bidi="el-GR"/>
        </w:rPr>
        <w:t>Cola</w:t>
      </w:r>
      <w:r w:rsidRPr="00876A0D">
        <w:rPr>
          <w:rFonts w:ascii="Effra Corp" w:eastAsia="Calibri" w:hAnsi="Effra Corp" w:cs="Effra Corp"/>
          <w:sz w:val="20"/>
          <w:szCs w:val="20"/>
          <w:lang w:val="el-GR" w:bidi="el-GR"/>
        </w:rPr>
        <w:t xml:space="preserve"> </w:t>
      </w:r>
      <w:r>
        <w:rPr>
          <w:rFonts w:ascii="Effra Corp" w:eastAsia="Calibri" w:hAnsi="Effra Corp" w:cs="Effra Corp"/>
          <w:sz w:val="20"/>
          <w:szCs w:val="20"/>
          <w:lang w:val="en-US" w:bidi="el-GR"/>
        </w:rPr>
        <w:t>HBC</w:t>
      </w:r>
      <w:r w:rsidRPr="00876A0D">
        <w:rPr>
          <w:rFonts w:ascii="Effra Corp" w:eastAsia="Calibri" w:hAnsi="Effra Corp" w:cs="Effra Corp"/>
          <w:sz w:val="20"/>
          <w:szCs w:val="20"/>
          <w:lang w:val="el-GR" w:bidi="el-GR"/>
        </w:rPr>
        <w:t xml:space="preserve"> </w:t>
      </w:r>
      <w:r>
        <w:rPr>
          <w:rFonts w:ascii="Effra Corp" w:eastAsia="Calibri" w:hAnsi="Effra Corp" w:cs="Effra Corp"/>
          <w:sz w:val="20"/>
          <w:szCs w:val="20"/>
          <w:lang w:val="en-US" w:bidi="el-GR"/>
        </w:rPr>
        <w:t>Employee</w:t>
      </w:r>
      <w:r w:rsidRPr="00876A0D">
        <w:rPr>
          <w:rFonts w:ascii="Effra Corp" w:eastAsia="Calibri" w:hAnsi="Effra Corp" w:cs="Effra Corp"/>
          <w:sz w:val="20"/>
          <w:szCs w:val="20"/>
          <w:lang w:val="el-GR" w:bidi="el-GR"/>
        </w:rPr>
        <w:t xml:space="preserve"> </w:t>
      </w:r>
      <w:r>
        <w:rPr>
          <w:rFonts w:ascii="Effra Corp" w:eastAsia="Calibri" w:hAnsi="Effra Corp" w:cs="Effra Corp"/>
          <w:sz w:val="20"/>
          <w:szCs w:val="20"/>
          <w:lang w:val="en-US" w:bidi="el-GR"/>
        </w:rPr>
        <w:t>Donation</w:t>
      </w:r>
      <w:r w:rsidRPr="00876A0D">
        <w:rPr>
          <w:rFonts w:ascii="Effra Corp" w:eastAsia="Calibri" w:hAnsi="Effra Corp" w:cs="Effra Corp"/>
          <w:sz w:val="20"/>
          <w:szCs w:val="20"/>
          <w:lang w:val="el-GR" w:bidi="el-GR"/>
        </w:rPr>
        <w:t xml:space="preserve"> </w:t>
      </w:r>
      <w:r>
        <w:rPr>
          <w:rFonts w:ascii="Effra Corp" w:eastAsia="Calibri" w:hAnsi="Effra Corp" w:cs="Effra Corp"/>
          <w:sz w:val="20"/>
          <w:szCs w:val="20"/>
          <w:lang w:val="en-US" w:bidi="el-GR"/>
        </w:rPr>
        <w:t>Funds</w:t>
      </w:r>
      <w:r>
        <w:rPr>
          <w:rFonts w:ascii="Effra Corp" w:eastAsia="Calibri" w:hAnsi="Effra Corp" w:cs="Effra Corp"/>
          <w:sz w:val="20"/>
          <w:szCs w:val="20"/>
          <w:lang w:val="el-GR" w:bidi="el-GR"/>
        </w:rPr>
        <w:t xml:space="preserve">, επιπλέον των προκαταβεβλημένων μισθών και των κέντρων παροχής βοήθειας προσφύγων στην Ουκρανία. Παγκοσμίως, το σύστημα της </w:t>
      </w:r>
      <w:r>
        <w:rPr>
          <w:rFonts w:ascii="Effra Corp" w:eastAsia="Calibri" w:hAnsi="Effra Corp" w:cs="Effra Corp"/>
          <w:sz w:val="20"/>
          <w:szCs w:val="20"/>
          <w:lang w:val="en-US" w:bidi="el-GR"/>
        </w:rPr>
        <w:t>Coca</w:t>
      </w:r>
      <w:r w:rsidRPr="00876A0D">
        <w:rPr>
          <w:rFonts w:ascii="Effra Corp" w:eastAsia="Calibri" w:hAnsi="Effra Corp" w:cs="Effra Corp"/>
          <w:sz w:val="20"/>
          <w:szCs w:val="20"/>
          <w:lang w:val="el-GR" w:bidi="el-GR"/>
        </w:rPr>
        <w:t>-</w:t>
      </w:r>
      <w:r>
        <w:rPr>
          <w:rFonts w:ascii="Effra Corp" w:eastAsia="Calibri" w:hAnsi="Effra Corp" w:cs="Effra Corp"/>
          <w:sz w:val="20"/>
          <w:szCs w:val="20"/>
          <w:lang w:val="en-US" w:bidi="el-GR"/>
        </w:rPr>
        <w:t>Cola</w:t>
      </w:r>
      <w:r w:rsidRPr="00876A0D">
        <w:rPr>
          <w:rFonts w:ascii="Effra Corp" w:eastAsia="Calibri" w:hAnsi="Effra Corp" w:cs="Effra Corp"/>
          <w:sz w:val="20"/>
          <w:szCs w:val="20"/>
          <w:lang w:val="el-GR" w:bidi="el-GR"/>
        </w:rPr>
        <w:t xml:space="preserve"> </w:t>
      </w:r>
      <w:r>
        <w:rPr>
          <w:rFonts w:ascii="Effra Corp" w:eastAsia="Calibri" w:hAnsi="Effra Corp" w:cs="Effra Corp"/>
          <w:sz w:val="20"/>
          <w:szCs w:val="20"/>
          <w:lang w:val="el-GR" w:bidi="el-GR"/>
        </w:rPr>
        <w:t xml:space="preserve">έχει δεσμεύσει </w:t>
      </w:r>
      <w:r w:rsidR="009F2EAF" w:rsidRPr="009F2EAF">
        <w:rPr>
          <w:rFonts w:ascii="Effra Corp" w:eastAsia="Calibri" w:hAnsi="Effra Corp"/>
          <w:sz w:val="21"/>
          <w:szCs w:val="21"/>
          <w:lang w:val="el-GR"/>
        </w:rPr>
        <w:t>$</w:t>
      </w:r>
      <w:r>
        <w:rPr>
          <w:rFonts w:ascii="Effra Corp" w:eastAsia="Calibri" w:hAnsi="Effra Corp" w:cs="Effra Corp"/>
          <w:sz w:val="20"/>
          <w:szCs w:val="20"/>
          <w:lang w:val="el-GR" w:bidi="el-GR"/>
        </w:rPr>
        <w:t>1</w:t>
      </w:r>
      <w:r w:rsidR="003B405B" w:rsidRPr="003B405B">
        <w:rPr>
          <w:rFonts w:ascii="Effra Corp" w:eastAsia="Calibri" w:hAnsi="Effra Corp" w:cs="Effra Corp"/>
          <w:sz w:val="20"/>
          <w:szCs w:val="20"/>
          <w:lang w:val="el-GR" w:bidi="el-GR"/>
        </w:rPr>
        <w:t>5</w:t>
      </w:r>
      <w:r>
        <w:rPr>
          <w:rFonts w:ascii="Effra Corp" w:eastAsia="Calibri" w:hAnsi="Effra Corp" w:cs="Effra Corp"/>
          <w:sz w:val="20"/>
          <w:szCs w:val="20"/>
          <w:lang w:val="el-GR" w:bidi="el-GR"/>
        </w:rPr>
        <w:t xml:space="preserve"> εκατομμύρια</w:t>
      </w:r>
      <w:r w:rsidR="00E55014">
        <w:rPr>
          <w:rFonts w:ascii="Effra Corp" w:eastAsia="Calibri" w:hAnsi="Effra Corp" w:cs="Effra Corp"/>
          <w:sz w:val="20"/>
          <w:szCs w:val="20"/>
          <w:lang w:val="el-GR" w:bidi="el-GR"/>
        </w:rPr>
        <w:t xml:space="preserve"> </w:t>
      </w:r>
      <w:r>
        <w:rPr>
          <w:rFonts w:ascii="Effra Corp" w:eastAsia="Calibri" w:hAnsi="Effra Corp" w:cs="Effra Corp"/>
          <w:sz w:val="20"/>
          <w:szCs w:val="20"/>
          <w:lang w:val="el-GR" w:bidi="el-GR"/>
        </w:rPr>
        <w:t>σε διάφορους οργανισμούς παροχής ανθρωπιστικής βοήθειας, ενώ ταυτόχρονα παρέχει περισσότερα από 1,8 εκατομμύρια λίτρα αναψυκτικών</w:t>
      </w:r>
      <w:r w:rsidR="00E55014">
        <w:rPr>
          <w:rFonts w:ascii="Effra Corp" w:eastAsia="Calibri" w:hAnsi="Effra Corp" w:cs="Effra Corp"/>
          <w:sz w:val="20"/>
          <w:szCs w:val="20"/>
          <w:lang w:val="el-GR" w:bidi="el-GR"/>
        </w:rPr>
        <w:t>, αξίας άνω του €1 εκατομμυρίου, στην Ουκρανία και στις γειτονικές χώρες.</w:t>
      </w:r>
    </w:p>
    <w:p w14:paraId="68315E46" w14:textId="3B91FD96" w:rsidR="00613A34" w:rsidRDefault="00613A34" w:rsidP="004169A0">
      <w:pPr>
        <w:pStyle w:val="Footer"/>
        <w:spacing w:after="120" w:line="12" w:lineRule="atLeast"/>
        <w:jc w:val="both"/>
        <w:rPr>
          <w:rFonts w:ascii="Effra Corp" w:eastAsia="Calibri" w:hAnsi="Effra Corp" w:cs="Effra Corp"/>
          <w:sz w:val="20"/>
          <w:szCs w:val="20"/>
          <w:lang w:val="el-GR" w:bidi="el-GR"/>
        </w:rPr>
      </w:pPr>
      <w:r>
        <w:rPr>
          <w:rFonts w:ascii="Effra Corp" w:eastAsia="Calibri" w:hAnsi="Effra Corp" w:cs="Effra Corp"/>
          <w:sz w:val="20"/>
          <w:szCs w:val="20"/>
          <w:lang w:val="el-GR" w:bidi="el-GR"/>
        </w:rPr>
        <w:t>Η</w:t>
      </w:r>
      <w:r w:rsidRPr="00613A34">
        <w:rPr>
          <w:rFonts w:ascii="Effra Corp" w:eastAsia="Calibri" w:hAnsi="Effra Corp" w:cs="Effra Corp"/>
          <w:sz w:val="20"/>
          <w:szCs w:val="20"/>
          <w:lang w:val="el-GR" w:bidi="el-GR"/>
        </w:rPr>
        <w:t xml:space="preserve"> </w:t>
      </w:r>
      <w:r>
        <w:rPr>
          <w:rFonts w:ascii="Effra Corp" w:eastAsia="Calibri" w:hAnsi="Effra Corp" w:cs="Effra Corp"/>
          <w:sz w:val="20"/>
          <w:szCs w:val="20"/>
          <w:lang w:val="en-US" w:bidi="el-GR"/>
        </w:rPr>
        <w:t>The</w:t>
      </w:r>
      <w:r w:rsidRPr="00613A34">
        <w:rPr>
          <w:rFonts w:ascii="Effra Corp" w:eastAsia="Calibri" w:hAnsi="Effra Corp" w:cs="Effra Corp"/>
          <w:sz w:val="20"/>
          <w:szCs w:val="20"/>
          <w:lang w:val="el-GR" w:bidi="el-GR"/>
        </w:rPr>
        <w:t xml:space="preserve"> </w:t>
      </w:r>
      <w:r>
        <w:rPr>
          <w:rFonts w:ascii="Effra Corp" w:eastAsia="Calibri" w:hAnsi="Effra Corp" w:cs="Effra Corp"/>
          <w:sz w:val="20"/>
          <w:szCs w:val="20"/>
          <w:lang w:val="en-US" w:bidi="el-GR"/>
        </w:rPr>
        <w:t>Coca</w:t>
      </w:r>
      <w:r w:rsidRPr="00613A34">
        <w:rPr>
          <w:rFonts w:ascii="Effra Corp" w:eastAsia="Calibri" w:hAnsi="Effra Corp" w:cs="Effra Corp"/>
          <w:sz w:val="20"/>
          <w:szCs w:val="20"/>
          <w:lang w:val="el-GR" w:bidi="el-GR"/>
        </w:rPr>
        <w:t>-</w:t>
      </w:r>
      <w:r>
        <w:rPr>
          <w:rFonts w:ascii="Effra Corp" w:eastAsia="Calibri" w:hAnsi="Effra Corp" w:cs="Effra Corp"/>
          <w:sz w:val="20"/>
          <w:szCs w:val="20"/>
          <w:lang w:val="en-US" w:bidi="el-GR"/>
        </w:rPr>
        <w:t>Cola</w:t>
      </w:r>
      <w:r w:rsidRPr="00613A34">
        <w:rPr>
          <w:rFonts w:ascii="Effra Corp" w:eastAsia="Calibri" w:hAnsi="Effra Corp" w:cs="Effra Corp"/>
          <w:sz w:val="20"/>
          <w:szCs w:val="20"/>
          <w:lang w:val="el-GR" w:bidi="el-GR"/>
        </w:rPr>
        <w:t xml:space="preserve"> </w:t>
      </w:r>
      <w:r>
        <w:rPr>
          <w:rFonts w:ascii="Effra Corp" w:eastAsia="Calibri" w:hAnsi="Effra Corp" w:cs="Effra Corp"/>
          <w:sz w:val="20"/>
          <w:szCs w:val="20"/>
          <w:lang w:val="en-US" w:bidi="el-GR"/>
        </w:rPr>
        <w:t>Company</w:t>
      </w:r>
      <w:r w:rsidRPr="00613A34">
        <w:rPr>
          <w:rFonts w:ascii="Effra Corp" w:eastAsia="Calibri" w:hAnsi="Effra Corp" w:cs="Effra Corp"/>
          <w:sz w:val="20"/>
          <w:szCs w:val="20"/>
          <w:lang w:val="el-GR" w:bidi="el-GR"/>
        </w:rPr>
        <w:t xml:space="preserve"> </w:t>
      </w:r>
      <w:r>
        <w:rPr>
          <w:rFonts w:ascii="Effra Corp" w:eastAsia="Calibri" w:hAnsi="Effra Corp" w:cs="Effra Corp"/>
          <w:sz w:val="20"/>
          <w:szCs w:val="20"/>
          <w:lang w:val="el-GR" w:bidi="el-GR"/>
        </w:rPr>
        <w:t>ανέστειλε</w:t>
      </w:r>
      <w:r w:rsidRPr="00613A34">
        <w:rPr>
          <w:rFonts w:ascii="Effra Corp" w:eastAsia="Calibri" w:hAnsi="Effra Corp" w:cs="Effra Corp"/>
          <w:sz w:val="20"/>
          <w:szCs w:val="20"/>
          <w:lang w:val="el-GR" w:bidi="el-GR"/>
        </w:rPr>
        <w:t xml:space="preserve"> </w:t>
      </w:r>
      <w:r>
        <w:rPr>
          <w:rFonts w:ascii="Effra Corp" w:eastAsia="Calibri" w:hAnsi="Effra Corp" w:cs="Effra Corp"/>
          <w:sz w:val="20"/>
          <w:szCs w:val="20"/>
          <w:lang w:val="el-GR" w:bidi="el-GR"/>
        </w:rPr>
        <w:t xml:space="preserve">τις δραστηριότητές της στη Ρωσία και σταμάτησε να δέχεται παραγγελίες για αγορά </w:t>
      </w:r>
      <w:r w:rsidR="00CA7F80">
        <w:rPr>
          <w:rFonts w:ascii="Effra Corp" w:eastAsia="Calibri" w:hAnsi="Effra Corp" w:cs="Effra Corp"/>
          <w:sz w:val="20"/>
          <w:szCs w:val="20"/>
          <w:lang w:val="el-GR" w:bidi="el-GR"/>
        </w:rPr>
        <w:t>συμπυκνωμένης πρώτης ύλης</w:t>
      </w:r>
      <w:r>
        <w:rPr>
          <w:rFonts w:ascii="Effra Corp" w:eastAsia="Calibri" w:hAnsi="Effra Corp" w:cs="Effra Corp"/>
          <w:sz w:val="20"/>
          <w:szCs w:val="20"/>
          <w:lang w:val="el-GR" w:bidi="el-GR"/>
        </w:rPr>
        <w:t xml:space="preserve"> με άμεση εφαρμογή από τις 8 Μαρτίου 2022. Βρισκόμαστε στη διαδικασία εφαρμογής αυτής της απόφασης σε στενή συνεργασία με την </w:t>
      </w:r>
      <w:r>
        <w:rPr>
          <w:rFonts w:ascii="Effra Corp" w:eastAsia="Calibri" w:hAnsi="Effra Corp" w:cs="Effra Corp"/>
          <w:sz w:val="20"/>
          <w:szCs w:val="20"/>
          <w:lang w:val="en-US" w:bidi="el-GR"/>
        </w:rPr>
        <w:t>The</w:t>
      </w:r>
      <w:r w:rsidRPr="00613A34">
        <w:rPr>
          <w:rFonts w:ascii="Effra Corp" w:eastAsia="Calibri" w:hAnsi="Effra Corp" w:cs="Effra Corp"/>
          <w:sz w:val="20"/>
          <w:szCs w:val="20"/>
          <w:lang w:val="el-GR" w:bidi="el-GR"/>
        </w:rPr>
        <w:t xml:space="preserve"> </w:t>
      </w:r>
      <w:r>
        <w:rPr>
          <w:rFonts w:ascii="Effra Corp" w:eastAsia="Calibri" w:hAnsi="Effra Corp" w:cs="Effra Corp"/>
          <w:sz w:val="20"/>
          <w:szCs w:val="20"/>
          <w:lang w:val="en-US" w:bidi="el-GR"/>
        </w:rPr>
        <w:t>Coca</w:t>
      </w:r>
      <w:r w:rsidRPr="00613A34">
        <w:rPr>
          <w:rFonts w:ascii="Effra Corp" w:eastAsia="Calibri" w:hAnsi="Effra Corp" w:cs="Effra Corp"/>
          <w:sz w:val="20"/>
          <w:szCs w:val="20"/>
          <w:lang w:val="el-GR" w:bidi="el-GR"/>
        </w:rPr>
        <w:t>-</w:t>
      </w:r>
      <w:r>
        <w:rPr>
          <w:rFonts w:ascii="Effra Corp" w:eastAsia="Calibri" w:hAnsi="Effra Corp" w:cs="Effra Corp"/>
          <w:sz w:val="20"/>
          <w:szCs w:val="20"/>
          <w:lang w:val="en-US" w:bidi="el-GR"/>
        </w:rPr>
        <w:t>Cola</w:t>
      </w:r>
      <w:r w:rsidRPr="00613A34">
        <w:rPr>
          <w:rFonts w:ascii="Effra Corp" w:eastAsia="Calibri" w:hAnsi="Effra Corp" w:cs="Effra Corp"/>
          <w:sz w:val="20"/>
          <w:szCs w:val="20"/>
          <w:lang w:val="el-GR" w:bidi="el-GR"/>
        </w:rPr>
        <w:t xml:space="preserve"> </w:t>
      </w:r>
      <w:r>
        <w:rPr>
          <w:rFonts w:ascii="Effra Corp" w:eastAsia="Calibri" w:hAnsi="Effra Corp" w:cs="Effra Corp"/>
          <w:sz w:val="20"/>
          <w:szCs w:val="20"/>
          <w:lang w:val="en-US" w:bidi="el-GR"/>
        </w:rPr>
        <w:t>Company</w:t>
      </w:r>
      <w:r w:rsidRPr="00613A34">
        <w:rPr>
          <w:rFonts w:ascii="Effra Corp" w:eastAsia="Calibri" w:hAnsi="Effra Corp" w:cs="Effra Corp"/>
          <w:sz w:val="20"/>
          <w:szCs w:val="20"/>
          <w:lang w:val="el-GR" w:bidi="el-GR"/>
        </w:rPr>
        <w:t>.</w:t>
      </w:r>
    </w:p>
    <w:p w14:paraId="4F18FEC0" w14:textId="1FC59351" w:rsidR="008A5A75" w:rsidRDefault="00E15EFC" w:rsidP="004169A0">
      <w:pPr>
        <w:pStyle w:val="Footer"/>
        <w:spacing w:after="120" w:line="12" w:lineRule="atLeast"/>
        <w:jc w:val="both"/>
        <w:rPr>
          <w:rFonts w:ascii="Effra Corp" w:eastAsia="Calibri" w:hAnsi="Effra Corp" w:cs="Effra Corp"/>
          <w:sz w:val="20"/>
          <w:szCs w:val="20"/>
          <w:lang w:val="el-GR" w:bidi="el-GR"/>
        </w:rPr>
      </w:pPr>
      <w:r>
        <w:rPr>
          <w:rFonts w:ascii="Effra Corp" w:eastAsia="Calibri" w:hAnsi="Effra Corp" w:cs="Effra Corp"/>
          <w:sz w:val="20"/>
          <w:szCs w:val="20"/>
          <w:lang w:val="el-GR" w:bidi="el-GR"/>
        </w:rPr>
        <w:t xml:space="preserve">Σε συνέχεια της απόφασης αυτής, </w:t>
      </w:r>
      <w:r w:rsidR="00613A34">
        <w:rPr>
          <w:rFonts w:ascii="Effra Corp" w:eastAsia="Calibri" w:hAnsi="Effra Corp" w:cs="Effra Corp"/>
          <w:sz w:val="20"/>
          <w:szCs w:val="20"/>
          <w:lang w:val="el-GR" w:bidi="el-GR"/>
        </w:rPr>
        <w:t xml:space="preserve">θα διατηρούμε μια πολύ μικρότερη </w:t>
      </w:r>
      <w:r w:rsidR="008A5A75">
        <w:rPr>
          <w:rFonts w:ascii="Effra Corp" w:eastAsia="Calibri" w:hAnsi="Effra Corp" w:cs="Effra Corp"/>
          <w:sz w:val="20"/>
          <w:szCs w:val="20"/>
          <w:lang w:val="el-GR" w:bidi="el-GR"/>
        </w:rPr>
        <w:t>παρουσία</w:t>
      </w:r>
      <w:r w:rsidR="00613A34">
        <w:rPr>
          <w:rFonts w:ascii="Effra Corp" w:eastAsia="Calibri" w:hAnsi="Effra Corp" w:cs="Effra Corp"/>
          <w:sz w:val="20"/>
          <w:szCs w:val="20"/>
          <w:lang w:val="el-GR" w:bidi="el-GR"/>
        </w:rPr>
        <w:t xml:space="preserve"> στην αγορά, επικεντρωμένη σ</w:t>
      </w:r>
      <w:r w:rsidR="00360B88">
        <w:rPr>
          <w:rFonts w:ascii="Effra Corp" w:eastAsia="Calibri" w:hAnsi="Effra Corp" w:cs="Effra Corp"/>
          <w:sz w:val="20"/>
          <w:szCs w:val="20"/>
          <w:lang w:val="el-GR" w:bidi="el-GR"/>
        </w:rPr>
        <w:t>ε</w:t>
      </w:r>
      <w:r w:rsidR="00613A34">
        <w:rPr>
          <w:rFonts w:ascii="Effra Corp" w:eastAsia="Calibri" w:hAnsi="Effra Corp" w:cs="Effra Corp"/>
          <w:sz w:val="20"/>
          <w:szCs w:val="20"/>
          <w:lang w:val="el-GR" w:bidi="el-GR"/>
        </w:rPr>
        <w:t xml:space="preserve"> τοπικά εμπορικά σήματα. Αξιολογούμε όλες τις </w:t>
      </w:r>
      <w:r w:rsidR="0028053A">
        <w:rPr>
          <w:rFonts w:ascii="Effra Corp" w:eastAsia="Calibri" w:hAnsi="Effra Corp" w:cs="Effra Corp"/>
          <w:sz w:val="20"/>
          <w:szCs w:val="20"/>
          <w:lang w:val="el-GR" w:bidi="el-GR"/>
        </w:rPr>
        <w:t xml:space="preserve">σχετικές </w:t>
      </w:r>
      <w:r w:rsidR="00613A34">
        <w:rPr>
          <w:rFonts w:ascii="Effra Corp" w:eastAsia="Calibri" w:hAnsi="Effra Corp" w:cs="Effra Corp"/>
          <w:sz w:val="20"/>
          <w:szCs w:val="20"/>
          <w:lang w:val="el-GR" w:bidi="el-GR"/>
        </w:rPr>
        <w:t xml:space="preserve">επιλογές και θα μοιραστούμε περισσότερες πληροφορίες εν ευθέτω </w:t>
      </w:r>
      <w:proofErr w:type="spellStart"/>
      <w:r w:rsidR="00613A34">
        <w:rPr>
          <w:rFonts w:ascii="Effra Corp" w:eastAsia="Calibri" w:hAnsi="Effra Corp" w:cs="Effra Corp"/>
          <w:sz w:val="20"/>
          <w:szCs w:val="20"/>
          <w:lang w:val="el-GR" w:bidi="el-GR"/>
        </w:rPr>
        <w:t>χρόνω</w:t>
      </w:r>
      <w:proofErr w:type="spellEnd"/>
      <w:r w:rsidR="00613A34">
        <w:rPr>
          <w:rFonts w:ascii="Effra Corp" w:eastAsia="Calibri" w:hAnsi="Effra Corp" w:cs="Effra Corp"/>
          <w:sz w:val="20"/>
          <w:szCs w:val="20"/>
          <w:lang w:val="el-GR" w:bidi="el-GR"/>
        </w:rPr>
        <w:t xml:space="preserve">, μαζί με τις οικονομικές </w:t>
      </w:r>
      <w:r w:rsidR="00462D1A">
        <w:rPr>
          <w:rFonts w:ascii="Effra Corp" w:eastAsia="Calibri" w:hAnsi="Effra Corp" w:cs="Effra Corp"/>
          <w:sz w:val="20"/>
          <w:szCs w:val="20"/>
          <w:lang w:val="el-GR" w:bidi="el-GR"/>
        </w:rPr>
        <w:t xml:space="preserve">επιπτώσεις που θα προκύψουν από την όποια απόφαση </w:t>
      </w:r>
      <w:r w:rsidR="00483AC4">
        <w:rPr>
          <w:rFonts w:ascii="Effra Corp" w:eastAsia="Calibri" w:hAnsi="Effra Corp" w:cs="Effra Corp"/>
          <w:sz w:val="20"/>
          <w:szCs w:val="20"/>
          <w:lang w:val="el-GR" w:bidi="el-GR"/>
        </w:rPr>
        <w:t xml:space="preserve">στις επιδόσεις </w:t>
      </w:r>
      <w:r w:rsidR="00462D1A">
        <w:rPr>
          <w:rFonts w:ascii="Effra Corp" w:eastAsia="Calibri" w:hAnsi="Effra Corp" w:cs="Effra Corp"/>
          <w:sz w:val="20"/>
          <w:szCs w:val="20"/>
          <w:lang w:val="el-GR" w:bidi="el-GR"/>
        </w:rPr>
        <w:t xml:space="preserve">για το 2022 καθώς και </w:t>
      </w:r>
      <w:r w:rsidR="00253F09">
        <w:rPr>
          <w:rFonts w:ascii="Effra Corp" w:eastAsia="Calibri" w:hAnsi="Effra Corp" w:cs="Effra Corp"/>
          <w:sz w:val="20"/>
          <w:szCs w:val="20"/>
          <w:lang w:val="el-GR" w:bidi="el-GR"/>
        </w:rPr>
        <w:t>σ</w:t>
      </w:r>
      <w:r w:rsidR="00462D1A">
        <w:rPr>
          <w:rFonts w:ascii="Effra Corp" w:eastAsia="Calibri" w:hAnsi="Effra Corp" w:cs="Effra Corp"/>
          <w:sz w:val="20"/>
          <w:szCs w:val="20"/>
          <w:lang w:val="el-GR" w:bidi="el-GR"/>
        </w:rPr>
        <w:t>το επίπεδο τ</w:t>
      </w:r>
      <w:r w:rsidR="00F13D28">
        <w:rPr>
          <w:rFonts w:ascii="Effra Corp" w:eastAsia="Calibri" w:hAnsi="Effra Corp" w:cs="Effra Corp"/>
          <w:sz w:val="20"/>
          <w:szCs w:val="20"/>
          <w:lang w:val="el-GR" w:bidi="el-GR"/>
        </w:rPr>
        <w:t>ων</w:t>
      </w:r>
      <w:r w:rsidR="00462D1A">
        <w:rPr>
          <w:rFonts w:ascii="Effra Corp" w:eastAsia="Calibri" w:hAnsi="Effra Corp" w:cs="Effra Corp"/>
          <w:sz w:val="20"/>
          <w:szCs w:val="20"/>
          <w:lang w:val="el-GR" w:bidi="el-GR"/>
        </w:rPr>
        <w:t xml:space="preserve"> μη-</w:t>
      </w:r>
      <w:r w:rsidR="00253F09">
        <w:rPr>
          <w:rFonts w:ascii="Effra Corp" w:eastAsia="Calibri" w:hAnsi="Effra Corp" w:cs="Effra Corp"/>
          <w:sz w:val="20"/>
          <w:szCs w:val="20"/>
          <w:lang w:val="el-GR" w:bidi="el-GR"/>
        </w:rPr>
        <w:t>ταμειακ</w:t>
      </w:r>
      <w:r w:rsidR="00F13D28">
        <w:rPr>
          <w:rFonts w:ascii="Effra Corp" w:eastAsia="Calibri" w:hAnsi="Effra Corp" w:cs="Effra Corp"/>
          <w:sz w:val="20"/>
          <w:szCs w:val="20"/>
          <w:lang w:val="el-GR" w:bidi="el-GR"/>
        </w:rPr>
        <w:t>ών</w:t>
      </w:r>
      <w:r w:rsidR="00253F09">
        <w:rPr>
          <w:rFonts w:ascii="Effra Corp" w:eastAsia="Calibri" w:hAnsi="Effra Corp" w:cs="Effra Corp"/>
          <w:sz w:val="20"/>
          <w:szCs w:val="20"/>
          <w:lang w:val="el-GR" w:bidi="el-GR"/>
        </w:rPr>
        <w:t xml:space="preserve"> </w:t>
      </w:r>
      <w:r w:rsidR="00F13D28">
        <w:rPr>
          <w:rFonts w:ascii="Effra Corp" w:eastAsia="Calibri" w:hAnsi="Effra Corp" w:cs="Effra Corp"/>
          <w:sz w:val="20"/>
          <w:szCs w:val="20"/>
          <w:lang w:val="el-GR" w:bidi="el-GR"/>
        </w:rPr>
        <w:t>εξόδων</w:t>
      </w:r>
      <w:r w:rsidR="00462D1A">
        <w:rPr>
          <w:rFonts w:ascii="Effra Corp" w:eastAsia="Calibri" w:hAnsi="Effra Corp" w:cs="Effra Corp"/>
          <w:sz w:val="20"/>
          <w:szCs w:val="20"/>
          <w:lang w:val="el-GR" w:bidi="el-GR"/>
        </w:rPr>
        <w:t>.</w:t>
      </w:r>
      <w:r w:rsidR="008A5A75">
        <w:rPr>
          <w:rFonts w:ascii="Effra Corp" w:eastAsia="Calibri" w:hAnsi="Effra Corp" w:cs="Effra Corp"/>
          <w:sz w:val="20"/>
          <w:szCs w:val="20"/>
          <w:lang w:val="el-GR" w:bidi="el-GR"/>
        </w:rPr>
        <w:t xml:space="preserve"> </w:t>
      </w:r>
    </w:p>
    <w:p w14:paraId="43C2B5AC" w14:textId="611979B3" w:rsidR="00613A34" w:rsidRDefault="00462D1A" w:rsidP="004169A0">
      <w:pPr>
        <w:pStyle w:val="Footer"/>
        <w:spacing w:after="120" w:line="12" w:lineRule="atLeast"/>
        <w:jc w:val="both"/>
        <w:rPr>
          <w:rFonts w:ascii="Effra Corp" w:eastAsia="Calibri" w:hAnsi="Effra Corp" w:cs="Effra Corp"/>
          <w:sz w:val="20"/>
          <w:szCs w:val="20"/>
          <w:lang w:val="el-GR" w:bidi="el-GR"/>
        </w:rPr>
      </w:pPr>
      <w:r>
        <w:rPr>
          <w:rFonts w:ascii="Effra Corp" w:eastAsia="Calibri" w:hAnsi="Effra Corp" w:cs="Effra Corp"/>
          <w:sz w:val="20"/>
          <w:szCs w:val="20"/>
          <w:lang w:val="el-GR" w:bidi="el-GR"/>
        </w:rPr>
        <w:t xml:space="preserve">Η οργανική αύξηση των εσόδων </w:t>
      </w:r>
      <w:r w:rsidRPr="00EB5BBA">
        <w:rPr>
          <w:rFonts w:ascii="Effra Corp" w:eastAsia="Calibri" w:hAnsi="Effra Corp" w:cs="Effra Corp"/>
          <w:sz w:val="20"/>
          <w:szCs w:val="20"/>
          <w:lang w:val="el-GR" w:bidi="el-GR"/>
        </w:rPr>
        <w:t>εξαιρουμένης της Ρωσίας και της Ουκρανίας διαμορφώθηκε στο 25,9%</w:t>
      </w:r>
      <w:r>
        <w:rPr>
          <w:rFonts w:ascii="Effra Corp" w:eastAsia="Calibri" w:hAnsi="Effra Corp" w:cs="Effra Corp"/>
          <w:sz w:val="20"/>
          <w:szCs w:val="20"/>
          <w:lang w:val="el-GR" w:bidi="el-GR"/>
        </w:rPr>
        <w:t xml:space="preserve">, χάρη στη συνεχιζόμενη </w:t>
      </w:r>
      <w:r w:rsidR="00FC072F">
        <w:rPr>
          <w:rFonts w:ascii="Effra Corp" w:eastAsia="Calibri" w:hAnsi="Effra Corp" w:cs="Effra Corp"/>
          <w:sz w:val="20"/>
          <w:szCs w:val="20"/>
          <w:lang w:val="el-GR" w:bidi="el-GR"/>
        </w:rPr>
        <w:t>ισχυρή</w:t>
      </w:r>
      <w:r>
        <w:rPr>
          <w:rFonts w:ascii="Effra Corp" w:eastAsia="Calibri" w:hAnsi="Effra Corp" w:cs="Effra Corp"/>
          <w:sz w:val="20"/>
          <w:szCs w:val="20"/>
          <w:lang w:val="el-GR" w:bidi="el-GR"/>
        </w:rPr>
        <w:t xml:space="preserve"> απόδοση των λοιπών αγορών του Ομίλου.</w:t>
      </w:r>
    </w:p>
    <w:p w14:paraId="09FC2E84" w14:textId="716708B3" w:rsidR="00155F88" w:rsidRPr="000978E8" w:rsidRDefault="00155F88" w:rsidP="00155F88">
      <w:pPr>
        <w:pStyle w:val="Footer"/>
        <w:spacing w:after="120" w:line="12" w:lineRule="atLeast"/>
        <w:jc w:val="both"/>
        <w:rPr>
          <w:rFonts w:ascii="Effra Corp" w:eastAsia="Effra Corp" w:hAnsi="Effra Corp" w:cs="Arial"/>
          <w:b/>
          <w:color w:val="FF0000"/>
          <w:spacing w:val="-2"/>
          <w:sz w:val="20"/>
          <w:szCs w:val="20"/>
          <w:lang w:val="el-GR" w:bidi="el-GR"/>
        </w:rPr>
      </w:pPr>
      <w:r w:rsidRPr="000978E8">
        <w:rPr>
          <w:rFonts w:ascii="Effra Corp" w:eastAsia="Effra Corp" w:hAnsi="Effra Corp" w:cs="Arial"/>
          <w:b/>
          <w:color w:val="FF0000"/>
          <w:spacing w:val="-2"/>
          <w:sz w:val="20"/>
          <w:szCs w:val="20"/>
          <w:lang w:val="el-GR" w:bidi="el-GR"/>
        </w:rPr>
        <w:t xml:space="preserve">Ισχυρή συνεργασία με την The Coca-Cola </w:t>
      </w:r>
      <w:proofErr w:type="spellStart"/>
      <w:r w:rsidRPr="000978E8">
        <w:rPr>
          <w:rFonts w:ascii="Effra Corp" w:eastAsia="Effra Corp" w:hAnsi="Effra Corp" w:cs="Arial"/>
          <w:b/>
          <w:color w:val="FF0000"/>
          <w:spacing w:val="-2"/>
          <w:sz w:val="20"/>
          <w:szCs w:val="20"/>
          <w:lang w:val="el-GR" w:bidi="el-GR"/>
        </w:rPr>
        <w:t>Company</w:t>
      </w:r>
      <w:proofErr w:type="spellEnd"/>
      <w:r w:rsidRPr="000978E8">
        <w:rPr>
          <w:rFonts w:ascii="Effra Corp" w:eastAsia="Effra Corp" w:hAnsi="Effra Corp" w:cs="Arial"/>
          <w:b/>
          <w:color w:val="FF0000"/>
          <w:spacing w:val="-2"/>
          <w:sz w:val="20"/>
          <w:szCs w:val="20"/>
          <w:lang w:val="el-GR" w:bidi="el-GR"/>
        </w:rPr>
        <w:t xml:space="preserve"> </w:t>
      </w:r>
    </w:p>
    <w:p w14:paraId="52F94A69" w14:textId="6602F902" w:rsidR="0059058F" w:rsidRDefault="00155F88" w:rsidP="00155F88">
      <w:pPr>
        <w:pStyle w:val="Footer"/>
        <w:spacing w:after="120" w:line="12" w:lineRule="atLeast"/>
        <w:jc w:val="both"/>
        <w:rPr>
          <w:rFonts w:ascii="Effra Corp" w:eastAsia="Calibri" w:hAnsi="Effra Corp" w:cs="Effra Corp"/>
          <w:sz w:val="20"/>
          <w:szCs w:val="20"/>
          <w:lang w:val="el-GR" w:bidi="el-GR"/>
        </w:rPr>
      </w:pPr>
      <w:r>
        <w:rPr>
          <w:rFonts w:ascii="Effra Corp" w:eastAsia="Calibri" w:hAnsi="Effra Corp" w:cs="Effra Corp"/>
          <w:sz w:val="20"/>
          <w:szCs w:val="20"/>
          <w:lang w:val="el-GR" w:bidi="el-GR"/>
        </w:rPr>
        <w:lastRenderedPageBreak/>
        <w:t>Έχουμε</w:t>
      </w:r>
      <w:r w:rsidRPr="00155F88">
        <w:rPr>
          <w:rFonts w:ascii="Effra Corp" w:eastAsia="Calibri" w:hAnsi="Effra Corp" w:cs="Effra Corp"/>
          <w:sz w:val="20"/>
          <w:szCs w:val="20"/>
          <w:lang w:val="el-GR" w:bidi="el-GR"/>
        </w:rPr>
        <w:t xml:space="preserve"> </w:t>
      </w:r>
      <w:r>
        <w:rPr>
          <w:rFonts w:ascii="Effra Corp" w:eastAsia="Calibri" w:hAnsi="Effra Corp" w:cs="Effra Corp"/>
          <w:sz w:val="20"/>
          <w:szCs w:val="20"/>
          <w:lang w:val="el-GR" w:bidi="el-GR"/>
        </w:rPr>
        <w:t>συνεργαστεί</w:t>
      </w:r>
      <w:r w:rsidRPr="00155F88">
        <w:rPr>
          <w:rFonts w:ascii="Effra Corp" w:eastAsia="Calibri" w:hAnsi="Effra Corp" w:cs="Effra Corp"/>
          <w:sz w:val="20"/>
          <w:szCs w:val="20"/>
          <w:lang w:val="el-GR" w:bidi="el-GR"/>
        </w:rPr>
        <w:t xml:space="preserve"> </w:t>
      </w:r>
      <w:r>
        <w:rPr>
          <w:rFonts w:ascii="Effra Corp" w:eastAsia="Calibri" w:hAnsi="Effra Corp" w:cs="Effra Corp"/>
          <w:sz w:val="20"/>
          <w:szCs w:val="20"/>
          <w:lang w:val="el-GR" w:bidi="el-GR"/>
        </w:rPr>
        <w:t>επιτυχώς</w:t>
      </w:r>
      <w:r w:rsidRPr="00155F88">
        <w:rPr>
          <w:rFonts w:ascii="Effra Corp" w:eastAsia="Calibri" w:hAnsi="Effra Corp" w:cs="Effra Corp"/>
          <w:sz w:val="20"/>
          <w:szCs w:val="20"/>
          <w:lang w:val="el-GR" w:bidi="el-GR"/>
        </w:rPr>
        <w:t xml:space="preserve"> </w:t>
      </w:r>
      <w:r>
        <w:rPr>
          <w:rFonts w:ascii="Effra Corp" w:eastAsia="Calibri" w:hAnsi="Effra Corp" w:cs="Effra Corp"/>
          <w:sz w:val="20"/>
          <w:szCs w:val="20"/>
          <w:lang w:val="el-GR" w:bidi="el-GR"/>
        </w:rPr>
        <w:t>με</w:t>
      </w:r>
      <w:r w:rsidRPr="00155F88">
        <w:rPr>
          <w:rFonts w:ascii="Effra Corp" w:eastAsia="Calibri" w:hAnsi="Effra Corp" w:cs="Effra Corp"/>
          <w:sz w:val="20"/>
          <w:szCs w:val="20"/>
          <w:lang w:val="el-GR" w:bidi="el-GR"/>
        </w:rPr>
        <w:t xml:space="preserve"> </w:t>
      </w:r>
      <w:r>
        <w:rPr>
          <w:rFonts w:ascii="Effra Corp" w:eastAsia="Calibri" w:hAnsi="Effra Corp" w:cs="Effra Corp"/>
          <w:sz w:val="20"/>
          <w:szCs w:val="20"/>
          <w:lang w:val="el-GR" w:bidi="el-GR"/>
        </w:rPr>
        <w:t>την</w:t>
      </w:r>
      <w:r w:rsidRPr="00155F88">
        <w:rPr>
          <w:rFonts w:ascii="Effra Corp" w:eastAsia="Calibri" w:hAnsi="Effra Corp" w:cs="Effra Corp"/>
          <w:sz w:val="20"/>
          <w:szCs w:val="20"/>
          <w:lang w:val="el-GR" w:bidi="el-GR"/>
        </w:rPr>
        <w:t xml:space="preserve"> </w:t>
      </w:r>
      <w:r w:rsidRPr="00155F88">
        <w:rPr>
          <w:rFonts w:ascii="Effra Corp" w:eastAsia="Calibri" w:hAnsi="Effra Corp" w:cs="Effra Corp"/>
          <w:sz w:val="20"/>
          <w:szCs w:val="20"/>
          <w:lang w:val="en-US" w:bidi="el-GR"/>
        </w:rPr>
        <w:t>The</w:t>
      </w:r>
      <w:r w:rsidRPr="00155F88">
        <w:rPr>
          <w:rFonts w:ascii="Effra Corp" w:eastAsia="Calibri" w:hAnsi="Effra Corp" w:cs="Effra Corp"/>
          <w:sz w:val="20"/>
          <w:szCs w:val="20"/>
          <w:lang w:val="el-GR" w:bidi="el-GR"/>
        </w:rPr>
        <w:t xml:space="preserve"> </w:t>
      </w:r>
      <w:r w:rsidRPr="00155F88">
        <w:rPr>
          <w:rFonts w:ascii="Effra Corp" w:eastAsia="Calibri" w:hAnsi="Effra Corp" w:cs="Effra Corp"/>
          <w:sz w:val="20"/>
          <w:szCs w:val="20"/>
          <w:lang w:val="en-US" w:bidi="el-GR"/>
        </w:rPr>
        <w:t>Coca</w:t>
      </w:r>
      <w:r w:rsidRPr="00155F88">
        <w:rPr>
          <w:rFonts w:ascii="Effra Corp" w:eastAsia="Calibri" w:hAnsi="Effra Corp" w:cs="Effra Corp"/>
          <w:sz w:val="20"/>
          <w:szCs w:val="20"/>
          <w:lang w:val="el-GR" w:bidi="el-GR"/>
        </w:rPr>
        <w:t>-</w:t>
      </w:r>
      <w:r w:rsidRPr="00155F88">
        <w:rPr>
          <w:rFonts w:ascii="Effra Corp" w:eastAsia="Calibri" w:hAnsi="Effra Corp" w:cs="Effra Corp"/>
          <w:sz w:val="20"/>
          <w:szCs w:val="20"/>
          <w:lang w:val="en-US" w:bidi="el-GR"/>
        </w:rPr>
        <w:t>Cola</w:t>
      </w:r>
      <w:r w:rsidRPr="00155F88">
        <w:rPr>
          <w:rFonts w:ascii="Effra Corp" w:eastAsia="Calibri" w:hAnsi="Effra Corp" w:cs="Effra Corp"/>
          <w:sz w:val="20"/>
          <w:szCs w:val="20"/>
          <w:lang w:val="el-GR" w:bidi="el-GR"/>
        </w:rPr>
        <w:t xml:space="preserve"> </w:t>
      </w:r>
      <w:r w:rsidRPr="00155F88">
        <w:rPr>
          <w:rFonts w:ascii="Effra Corp" w:eastAsia="Calibri" w:hAnsi="Effra Corp" w:cs="Effra Corp"/>
          <w:sz w:val="20"/>
          <w:szCs w:val="20"/>
          <w:lang w:val="en-US" w:bidi="el-GR"/>
        </w:rPr>
        <w:t>Company</w:t>
      </w:r>
      <w:r w:rsidRPr="00155F88">
        <w:rPr>
          <w:rFonts w:ascii="Effra Corp" w:eastAsia="Calibri" w:hAnsi="Effra Corp" w:cs="Effra Corp"/>
          <w:sz w:val="20"/>
          <w:szCs w:val="20"/>
          <w:lang w:val="el-GR" w:bidi="el-GR"/>
        </w:rPr>
        <w:t xml:space="preserve"> </w:t>
      </w:r>
      <w:r>
        <w:rPr>
          <w:rFonts w:ascii="Effra Corp" w:eastAsia="Calibri" w:hAnsi="Effra Corp" w:cs="Effra Corp"/>
          <w:sz w:val="20"/>
          <w:szCs w:val="20"/>
          <w:lang w:val="el-GR" w:bidi="el-GR"/>
        </w:rPr>
        <w:t>για</w:t>
      </w:r>
      <w:r w:rsidRPr="00155F88">
        <w:rPr>
          <w:rFonts w:ascii="Effra Corp" w:eastAsia="Calibri" w:hAnsi="Effra Corp" w:cs="Effra Corp"/>
          <w:sz w:val="20"/>
          <w:szCs w:val="20"/>
          <w:lang w:val="el-GR" w:bidi="el-GR"/>
        </w:rPr>
        <w:t xml:space="preserve"> </w:t>
      </w:r>
      <w:r>
        <w:rPr>
          <w:rFonts w:ascii="Effra Corp" w:eastAsia="Calibri" w:hAnsi="Effra Corp" w:cs="Effra Corp"/>
          <w:sz w:val="20"/>
          <w:szCs w:val="20"/>
          <w:lang w:val="el-GR" w:bidi="el-GR"/>
        </w:rPr>
        <w:t>πάνω</w:t>
      </w:r>
      <w:r w:rsidRPr="00155F88">
        <w:rPr>
          <w:rFonts w:ascii="Effra Corp" w:eastAsia="Calibri" w:hAnsi="Effra Corp" w:cs="Effra Corp"/>
          <w:sz w:val="20"/>
          <w:szCs w:val="20"/>
          <w:lang w:val="el-GR" w:bidi="el-GR"/>
        </w:rPr>
        <w:t xml:space="preserve"> </w:t>
      </w:r>
      <w:r>
        <w:rPr>
          <w:rFonts w:ascii="Effra Corp" w:eastAsia="Calibri" w:hAnsi="Effra Corp" w:cs="Effra Corp"/>
          <w:sz w:val="20"/>
          <w:szCs w:val="20"/>
          <w:lang w:val="el-GR" w:bidi="el-GR"/>
        </w:rPr>
        <w:t>από</w:t>
      </w:r>
      <w:r w:rsidRPr="00155F88">
        <w:rPr>
          <w:rFonts w:ascii="Effra Corp" w:eastAsia="Calibri" w:hAnsi="Effra Corp" w:cs="Effra Corp"/>
          <w:sz w:val="20"/>
          <w:szCs w:val="20"/>
          <w:lang w:val="el-GR" w:bidi="el-GR"/>
        </w:rPr>
        <w:t xml:space="preserve"> 70 </w:t>
      </w:r>
      <w:r>
        <w:rPr>
          <w:rFonts w:ascii="Effra Corp" w:eastAsia="Calibri" w:hAnsi="Effra Corp" w:cs="Effra Corp"/>
          <w:sz w:val="20"/>
          <w:szCs w:val="20"/>
          <w:lang w:val="el-GR" w:bidi="el-GR"/>
        </w:rPr>
        <w:t>χρόνια και συνεχίζουμε μέχρι σήμερα</w:t>
      </w:r>
      <w:r w:rsidRPr="00155F88">
        <w:rPr>
          <w:rFonts w:ascii="Effra Corp" w:eastAsia="Calibri" w:hAnsi="Effra Corp" w:cs="Effra Corp"/>
          <w:sz w:val="20"/>
          <w:szCs w:val="20"/>
          <w:lang w:val="el-GR" w:bidi="el-GR"/>
        </w:rPr>
        <w:t xml:space="preserve">. </w:t>
      </w:r>
      <w:r>
        <w:rPr>
          <w:rFonts w:ascii="Effra Corp" w:eastAsia="Calibri" w:hAnsi="Effra Corp" w:cs="Effra Corp"/>
          <w:sz w:val="20"/>
          <w:szCs w:val="20"/>
          <w:lang w:val="el-GR" w:bidi="el-GR"/>
        </w:rPr>
        <w:t>Η</w:t>
      </w:r>
      <w:r w:rsidRPr="00155F88">
        <w:rPr>
          <w:rFonts w:ascii="Effra Corp" w:eastAsia="Calibri" w:hAnsi="Effra Corp" w:cs="Effra Corp"/>
          <w:sz w:val="20"/>
          <w:szCs w:val="20"/>
          <w:lang w:val="el-GR" w:bidi="el-GR"/>
        </w:rPr>
        <w:t xml:space="preserve"> </w:t>
      </w:r>
      <w:r w:rsidR="00CA7F80">
        <w:rPr>
          <w:rFonts w:ascii="Effra Corp" w:eastAsia="Calibri" w:hAnsi="Effra Corp" w:cs="Effra Corp"/>
          <w:sz w:val="20"/>
          <w:szCs w:val="20"/>
          <w:lang w:val="el-GR" w:bidi="el-GR"/>
        </w:rPr>
        <w:t>ισχύς</w:t>
      </w:r>
      <w:r w:rsidRPr="00155F88">
        <w:rPr>
          <w:rFonts w:ascii="Effra Corp" w:eastAsia="Calibri" w:hAnsi="Effra Corp" w:cs="Effra Corp"/>
          <w:sz w:val="20"/>
          <w:szCs w:val="20"/>
          <w:lang w:val="el-GR" w:bidi="el-GR"/>
        </w:rPr>
        <w:t xml:space="preserve"> </w:t>
      </w:r>
      <w:r>
        <w:rPr>
          <w:rFonts w:ascii="Effra Corp" w:eastAsia="Calibri" w:hAnsi="Effra Corp" w:cs="Effra Corp"/>
          <w:sz w:val="20"/>
          <w:szCs w:val="20"/>
          <w:lang w:val="el-GR" w:bidi="el-GR"/>
        </w:rPr>
        <w:t>αυτής</w:t>
      </w:r>
      <w:r w:rsidRPr="00155F88">
        <w:rPr>
          <w:rFonts w:ascii="Effra Corp" w:eastAsia="Calibri" w:hAnsi="Effra Corp" w:cs="Effra Corp"/>
          <w:sz w:val="20"/>
          <w:szCs w:val="20"/>
          <w:lang w:val="el-GR" w:bidi="el-GR"/>
        </w:rPr>
        <w:t xml:space="preserve"> </w:t>
      </w:r>
      <w:r>
        <w:rPr>
          <w:rFonts w:ascii="Effra Corp" w:eastAsia="Calibri" w:hAnsi="Effra Corp" w:cs="Effra Corp"/>
          <w:sz w:val="20"/>
          <w:szCs w:val="20"/>
          <w:lang w:val="el-GR" w:bidi="el-GR"/>
        </w:rPr>
        <w:t>της</w:t>
      </w:r>
      <w:r w:rsidRPr="00155F88">
        <w:rPr>
          <w:rFonts w:ascii="Effra Corp" w:eastAsia="Calibri" w:hAnsi="Effra Corp" w:cs="Effra Corp"/>
          <w:sz w:val="20"/>
          <w:szCs w:val="20"/>
          <w:lang w:val="el-GR" w:bidi="el-GR"/>
        </w:rPr>
        <w:t xml:space="preserve"> </w:t>
      </w:r>
      <w:r>
        <w:rPr>
          <w:rFonts w:ascii="Effra Corp" w:eastAsia="Calibri" w:hAnsi="Effra Corp" w:cs="Effra Corp"/>
          <w:sz w:val="20"/>
          <w:szCs w:val="20"/>
          <w:lang w:val="el-GR" w:bidi="el-GR"/>
        </w:rPr>
        <w:t>σχέσης</w:t>
      </w:r>
      <w:r w:rsidRPr="00155F88">
        <w:rPr>
          <w:rFonts w:ascii="Effra Corp" w:eastAsia="Calibri" w:hAnsi="Effra Corp" w:cs="Effra Corp"/>
          <w:sz w:val="20"/>
          <w:szCs w:val="20"/>
          <w:lang w:val="el-GR" w:bidi="el-GR"/>
        </w:rPr>
        <w:t xml:space="preserve">, </w:t>
      </w:r>
      <w:r w:rsidR="00CA7F80">
        <w:rPr>
          <w:rFonts w:ascii="Effra Corp" w:eastAsia="Calibri" w:hAnsi="Effra Corp" w:cs="Effra Corp"/>
          <w:sz w:val="20"/>
          <w:szCs w:val="20"/>
          <w:lang w:val="el-GR" w:bidi="el-GR"/>
        </w:rPr>
        <w:t>ιδιαίτερα</w:t>
      </w:r>
      <w:r w:rsidRPr="00155F88">
        <w:rPr>
          <w:rFonts w:ascii="Effra Corp" w:eastAsia="Calibri" w:hAnsi="Effra Corp" w:cs="Effra Corp"/>
          <w:sz w:val="20"/>
          <w:szCs w:val="20"/>
          <w:lang w:val="el-GR" w:bidi="el-GR"/>
        </w:rPr>
        <w:t xml:space="preserve"> </w:t>
      </w:r>
      <w:r>
        <w:rPr>
          <w:rFonts w:ascii="Effra Corp" w:eastAsia="Calibri" w:hAnsi="Effra Corp" w:cs="Effra Corp"/>
          <w:sz w:val="20"/>
          <w:szCs w:val="20"/>
          <w:lang w:val="el-GR" w:bidi="el-GR"/>
        </w:rPr>
        <w:t>σε</w:t>
      </w:r>
      <w:r w:rsidRPr="00155F88">
        <w:rPr>
          <w:rFonts w:ascii="Effra Corp" w:eastAsia="Calibri" w:hAnsi="Effra Corp" w:cs="Effra Corp"/>
          <w:sz w:val="20"/>
          <w:szCs w:val="20"/>
          <w:lang w:val="el-GR" w:bidi="el-GR"/>
        </w:rPr>
        <w:t xml:space="preserve"> </w:t>
      </w:r>
      <w:r>
        <w:rPr>
          <w:rFonts w:ascii="Effra Corp" w:eastAsia="Calibri" w:hAnsi="Effra Corp" w:cs="Effra Corp"/>
          <w:sz w:val="20"/>
          <w:szCs w:val="20"/>
          <w:lang w:val="el-GR" w:bidi="el-GR"/>
        </w:rPr>
        <w:t>αυτή</w:t>
      </w:r>
      <w:r w:rsidRPr="00155F88">
        <w:rPr>
          <w:rFonts w:ascii="Effra Corp" w:eastAsia="Calibri" w:hAnsi="Effra Corp" w:cs="Effra Corp"/>
          <w:sz w:val="20"/>
          <w:szCs w:val="20"/>
          <w:lang w:val="el-GR" w:bidi="el-GR"/>
        </w:rPr>
        <w:t xml:space="preserve"> </w:t>
      </w:r>
      <w:r>
        <w:rPr>
          <w:rFonts w:ascii="Effra Corp" w:eastAsia="Calibri" w:hAnsi="Effra Corp" w:cs="Effra Corp"/>
          <w:sz w:val="20"/>
          <w:szCs w:val="20"/>
          <w:lang w:val="el-GR" w:bidi="el-GR"/>
        </w:rPr>
        <w:t>την</w:t>
      </w:r>
      <w:r w:rsidRPr="00155F88">
        <w:rPr>
          <w:rFonts w:ascii="Effra Corp" w:eastAsia="Calibri" w:hAnsi="Effra Corp" w:cs="Effra Corp"/>
          <w:sz w:val="20"/>
          <w:szCs w:val="20"/>
          <w:lang w:val="el-GR" w:bidi="el-GR"/>
        </w:rPr>
        <w:t xml:space="preserve"> </w:t>
      </w:r>
      <w:r>
        <w:rPr>
          <w:rFonts w:ascii="Effra Corp" w:eastAsia="Calibri" w:hAnsi="Effra Corp" w:cs="Effra Corp"/>
          <w:sz w:val="20"/>
          <w:szCs w:val="20"/>
          <w:lang w:val="el-GR" w:bidi="el-GR"/>
        </w:rPr>
        <w:t>περίοδο</w:t>
      </w:r>
      <w:r w:rsidRPr="00155F88">
        <w:rPr>
          <w:rFonts w:ascii="Effra Corp" w:eastAsia="Calibri" w:hAnsi="Effra Corp" w:cs="Effra Corp"/>
          <w:sz w:val="20"/>
          <w:szCs w:val="20"/>
          <w:lang w:val="el-GR" w:bidi="el-GR"/>
        </w:rPr>
        <w:t xml:space="preserve">, </w:t>
      </w:r>
      <w:r>
        <w:rPr>
          <w:rFonts w:ascii="Effra Corp" w:eastAsia="Calibri" w:hAnsi="Effra Corp" w:cs="Effra Corp"/>
          <w:sz w:val="20"/>
          <w:szCs w:val="20"/>
          <w:lang w:val="el-GR" w:bidi="el-GR"/>
        </w:rPr>
        <w:t>αποδεικνύεται</w:t>
      </w:r>
      <w:r w:rsidRPr="00155F88">
        <w:rPr>
          <w:rFonts w:ascii="Effra Corp" w:eastAsia="Calibri" w:hAnsi="Effra Corp" w:cs="Effra Corp"/>
          <w:sz w:val="20"/>
          <w:szCs w:val="20"/>
          <w:lang w:val="el-GR" w:bidi="el-GR"/>
        </w:rPr>
        <w:t xml:space="preserve"> </w:t>
      </w:r>
      <w:r>
        <w:rPr>
          <w:rFonts w:ascii="Effra Corp" w:eastAsia="Calibri" w:hAnsi="Effra Corp" w:cs="Effra Corp"/>
          <w:sz w:val="20"/>
          <w:szCs w:val="20"/>
          <w:lang w:val="el-GR" w:bidi="el-GR"/>
        </w:rPr>
        <w:t>περαιτέρω από την ανανέωση</w:t>
      </w:r>
      <w:r w:rsidR="003935E7">
        <w:rPr>
          <w:rFonts w:ascii="Effra Corp" w:eastAsia="Calibri" w:hAnsi="Effra Corp" w:cs="Effra Corp"/>
          <w:sz w:val="20"/>
          <w:szCs w:val="20"/>
          <w:lang w:val="el-GR" w:bidi="el-GR"/>
        </w:rPr>
        <w:t xml:space="preserve"> των συμφωνιών εμφιαλώσεως για ακόμη μία δεκαετία</w:t>
      </w:r>
      <w:r w:rsidRPr="00155F88">
        <w:rPr>
          <w:rFonts w:ascii="Effra Corp" w:eastAsia="Calibri" w:hAnsi="Effra Corp" w:cs="Effra Corp"/>
          <w:sz w:val="20"/>
          <w:szCs w:val="20"/>
          <w:lang w:val="el-GR" w:bidi="el-GR"/>
        </w:rPr>
        <w:t xml:space="preserve">. </w:t>
      </w:r>
      <w:r w:rsidR="0059058F">
        <w:rPr>
          <w:rFonts w:ascii="Effra Corp" w:eastAsia="Calibri" w:hAnsi="Effra Corp" w:cs="Effra Corp"/>
          <w:sz w:val="20"/>
          <w:szCs w:val="20"/>
          <w:lang w:val="el-GR" w:bidi="el-GR"/>
        </w:rPr>
        <w:t>Θα</w:t>
      </w:r>
      <w:r w:rsidR="0059058F" w:rsidRPr="0059058F">
        <w:rPr>
          <w:rFonts w:ascii="Effra Corp" w:eastAsia="Calibri" w:hAnsi="Effra Corp" w:cs="Effra Corp"/>
          <w:sz w:val="20"/>
          <w:szCs w:val="20"/>
          <w:lang w:val="el-GR" w:bidi="el-GR"/>
        </w:rPr>
        <w:t xml:space="preserve"> </w:t>
      </w:r>
      <w:r w:rsidR="0059058F">
        <w:rPr>
          <w:rFonts w:ascii="Effra Corp" w:eastAsia="Calibri" w:hAnsi="Effra Corp" w:cs="Effra Corp"/>
          <w:sz w:val="20"/>
          <w:szCs w:val="20"/>
          <w:lang w:val="el-GR" w:bidi="el-GR"/>
        </w:rPr>
        <w:t>συνεχίσουμε μαζί</w:t>
      </w:r>
      <w:r w:rsidR="0059058F" w:rsidRPr="0059058F">
        <w:rPr>
          <w:rFonts w:ascii="Effra Corp" w:eastAsia="Calibri" w:hAnsi="Effra Corp" w:cs="Effra Corp"/>
          <w:sz w:val="20"/>
          <w:szCs w:val="20"/>
          <w:lang w:val="el-GR" w:bidi="el-GR"/>
        </w:rPr>
        <w:t xml:space="preserve"> </w:t>
      </w:r>
      <w:r w:rsidR="0059058F">
        <w:rPr>
          <w:rFonts w:ascii="Effra Corp" w:eastAsia="Calibri" w:hAnsi="Effra Corp" w:cs="Effra Corp"/>
          <w:sz w:val="20"/>
          <w:szCs w:val="20"/>
          <w:lang w:val="el-GR" w:bidi="el-GR"/>
        </w:rPr>
        <w:t>να</w:t>
      </w:r>
      <w:r w:rsidR="0059058F" w:rsidRPr="0059058F">
        <w:rPr>
          <w:rFonts w:ascii="Effra Corp" w:eastAsia="Calibri" w:hAnsi="Effra Corp" w:cs="Effra Corp"/>
          <w:sz w:val="20"/>
          <w:szCs w:val="20"/>
          <w:lang w:val="el-GR" w:bidi="el-GR"/>
        </w:rPr>
        <w:t xml:space="preserve"> </w:t>
      </w:r>
      <w:r w:rsidR="0059058F">
        <w:rPr>
          <w:rFonts w:ascii="Effra Corp" w:eastAsia="Calibri" w:hAnsi="Effra Corp" w:cs="Effra Corp"/>
          <w:sz w:val="20"/>
          <w:szCs w:val="20"/>
          <w:lang w:val="el-GR" w:bidi="el-GR"/>
        </w:rPr>
        <w:t>δημιουργούμε</w:t>
      </w:r>
      <w:r w:rsidR="0059058F" w:rsidRPr="0059058F">
        <w:rPr>
          <w:rFonts w:ascii="Effra Corp" w:eastAsia="Calibri" w:hAnsi="Effra Corp" w:cs="Effra Corp"/>
          <w:sz w:val="20"/>
          <w:szCs w:val="20"/>
          <w:lang w:val="el-GR" w:bidi="el-GR"/>
        </w:rPr>
        <w:t xml:space="preserve"> </w:t>
      </w:r>
      <w:r w:rsidR="0059058F">
        <w:rPr>
          <w:rFonts w:ascii="Effra Corp" w:eastAsia="Calibri" w:hAnsi="Effra Corp" w:cs="Effra Corp"/>
          <w:sz w:val="20"/>
          <w:szCs w:val="20"/>
          <w:lang w:val="el-GR" w:bidi="el-GR"/>
        </w:rPr>
        <w:t>αξία</w:t>
      </w:r>
      <w:r w:rsidR="0059058F" w:rsidRPr="0059058F">
        <w:rPr>
          <w:rFonts w:ascii="Effra Corp" w:eastAsia="Calibri" w:hAnsi="Effra Corp" w:cs="Effra Corp"/>
          <w:sz w:val="20"/>
          <w:szCs w:val="20"/>
          <w:lang w:val="el-GR" w:bidi="el-GR"/>
        </w:rPr>
        <w:t xml:space="preserve"> </w:t>
      </w:r>
      <w:r w:rsidR="0059058F">
        <w:rPr>
          <w:rFonts w:ascii="Effra Corp" w:eastAsia="Calibri" w:hAnsi="Effra Corp" w:cs="Effra Corp"/>
          <w:sz w:val="20"/>
          <w:szCs w:val="20"/>
          <w:lang w:val="el-GR" w:bidi="el-GR"/>
        </w:rPr>
        <w:t>και</w:t>
      </w:r>
      <w:r w:rsidR="0059058F" w:rsidRPr="0059058F">
        <w:rPr>
          <w:rFonts w:ascii="Effra Corp" w:eastAsia="Calibri" w:hAnsi="Effra Corp" w:cs="Effra Corp"/>
          <w:sz w:val="20"/>
          <w:szCs w:val="20"/>
          <w:lang w:val="el-GR" w:bidi="el-GR"/>
        </w:rPr>
        <w:t xml:space="preserve"> </w:t>
      </w:r>
      <w:r w:rsidR="0059058F">
        <w:rPr>
          <w:rFonts w:ascii="Effra Corp" w:eastAsia="Calibri" w:hAnsi="Effra Corp" w:cs="Effra Corp"/>
          <w:sz w:val="20"/>
          <w:szCs w:val="20"/>
          <w:lang w:val="el-GR" w:bidi="el-GR"/>
        </w:rPr>
        <w:t>να</w:t>
      </w:r>
      <w:r w:rsidR="0059058F" w:rsidRPr="0059058F">
        <w:rPr>
          <w:rFonts w:ascii="Effra Corp" w:eastAsia="Calibri" w:hAnsi="Effra Corp" w:cs="Effra Corp"/>
          <w:sz w:val="20"/>
          <w:szCs w:val="20"/>
          <w:lang w:val="el-GR" w:bidi="el-GR"/>
        </w:rPr>
        <w:t xml:space="preserve"> </w:t>
      </w:r>
      <w:r w:rsidR="0059058F">
        <w:rPr>
          <w:rFonts w:ascii="Effra Corp" w:eastAsia="Calibri" w:hAnsi="Effra Corp" w:cs="Effra Corp"/>
          <w:sz w:val="20"/>
          <w:szCs w:val="20"/>
          <w:lang w:val="el-GR" w:bidi="el-GR"/>
        </w:rPr>
        <w:t>αξιοποιούμε</w:t>
      </w:r>
      <w:r w:rsidR="0059058F" w:rsidRPr="0059058F">
        <w:rPr>
          <w:rFonts w:ascii="Effra Corp" w:eastAsia="Calibri" w:hAnsi="Effra Corp" w:cs="Effra Corp"/>
          <w:sz w:val="20"/>
          <w:szCs w:val="20"/>
          <w:lang w:val="el-GR" w:bidi="el-GR"/>
        </w:rPr>
        <w:t xml:space="preserve"> </w:t>
      </w:r>
      <w:r w:rsidR="0059058F">
        <w:rPr>
          <w:rFonts w:ascii="Effra Corp" w:eastAsia="Calibri" w:hAnsi="Effra Corp" w:cs="Effra Corp"/>
          <w:sz w:val="20"/>
          <w:szCs w:val="20"/>
          <w:lang w:val="el-GR" w:bidi="el-GR"/>
        </w:rPr>
        <w:t>τις</w:t>
      </w:r>
      <w:r w:rsidR="0059058F" w:rsidRPr="0059058F">
        <w:rPr>
          <w:rFonts w:ascii="Effra Corp" w:eastAsia="Calibri" w:hAnsi="Effra Corp" w:cs="Effra Corp"/>
          <w:sz w:val="20"/>
          <w:szCs w:val="20"/>
          <w:lang w:val="el-GR" w:bidi="el-GR"/>
        </w:rPr>
        <w:t xml:space="preserve"> </w:t>
      </w:r>
      <w:r w:rsidR="0059058F">
        <w:rPr>
          <w:rFonts w:ascii="Effra Corp" w:eastAsia="Calibri" w:hAnsi="Effra Corp" w:cs="Effra Corp"/>
          <w:sz w:val="20"/>
          <w:szCs w:val="20"/>
          <w:lang w:val="el-GR" w:bidi="el-GR"/>
        </w:rPr>
        <w:t>ευκαιρίες</w:t>
      </w:r>
      <w:r w:rsidR="0059058F" w:rsidRPr="0059058F">
        <w:rPr>
          <w:rFonts w:ascii="Effra Corp" w:eastAsia="Calibri" w:hAnsi="Effra Corp" w:cs="Effra Corp"/>
          <w:sz w:val="20"/>
          <w:szCs w:val="20"/>
          <w:lang w:val="el-GR" w:bidi="el-GR"/>
        </w:rPr>
        <w:t xml:space="preserve"> </w:t>
      </w:r>
      <w:r w:rsidR="0059058F">
        <w:rPr>
          <w:rFonts w:ascii="Effra Corp" w:eastAsia="Calibri" w:hAnsi="Effra Corp" w:cs="Effra Corp"/>
          <w:sz w:val="20"/>
          <w:szCs w:val="20"/>
          <w:lang w:val="el-GR" w:bidi="el-GR"/>
        </w:rPr>
        <w:t>στον</w:t>
      </w:r>
      <w:r w:rsidR="0059058F" w:rsidRPr="0059058F">
        <w:rPr>
          <w:rFonts w:ascii="Effra Corp" w:eastAsia="Calibri" w:hAnsi="Effra Corp" w:cs="Effra Corp"/>
          <w:sz w:val="20"/>
          <w:szCs w:val="20"/>
          <w:lang w:val="el-GR" w:bidi="el-GR"/>
        </w:rPr>
        <w:t xml:space="preserve"> </w:t>
      </w:r>
      <w:r w:rsidR="0059058F">
        <w:rPr>
          <w:rFonts w:ascii="Effra Corp" w:eastAsia="Calibri" w:hAnsi="Effra Corp" w:cs="Effra Corp"/>
          <w:sz w:val="20"/>
          <w:szCs w:val="20"/>
          <w:lang w:val="el-GR" w:bidi="el-GR"/>
        </w:rPr>
        <w:t>κλάδο</w:t>
      </w:r>
      <w:r w:rsidR="0059058F" w:rsidRPr="0059058F">
        <w:rPr>
          <w:rFonts w:ascii="Effra Corp" w:eastAsia="Calibri" w:hAnsi="Effra Corp" w:cs="Effra Corp"/>
          <w:sz w:val="20"/>
          <w:szCs w:val="20"/>
          <w:lang w:val="el-GR" w:bidi="el-GR"/>
        </w:rPr>
        <w:t xml:space="preserve"> </w:t>
      </w:r>
      <w:r w:rsidR="0059058F">
        <w:rPr>
          <w:rFonts w:ascii="Effra Corp" w:eastAsia="Calibri" w:hAnsi="Effra Corp" w:cs="Effra Corp"/>
          <w:sz w:val="20"/>
          <w:szCs w:val="20"/>
          <w:lang w:val="el-GR" w:bidi="el-GR"/>
        </w:rPr>
        <w:t>και</w:t>
      </w:r>
      <w:r w:rsidR="0059058F" w:rsidRPr="0059058F">
        <w:rPr>
          <w:rFonts w:ascii="Effra Corp" w:eastAsia="Calibri" w:hAnsi="Effra Corp" w:cs="Effra Corp"/>
          <w:sz w:val="20"/>
          <w:szCs w:val="20"/>
          <w:lang w:val="el-GR" w:bidi="el-GR"/>
        </w:rPr>
        <w:t xml:space="preserve"> </w:t>
      </w:r>
      <w:r w:rsidR="0059058F">
        <w:rPr>
          <w:rFonts w:ascii="Effra Corp" w:eastAsia="Calibri" w:hAnsi="Effra Corp" w:cs="Effra Corp"/>
          <w:sz w:val="20"/>
          <w:szCs w:val="20"/>
          <w:lang w:val="el-GR" w:bidi="el-GR"/>
        </w:rPr>
        <w:t>τις</w:t>
      </w:r>
      <w:r w:rsidR="0059058F" w:rsidRPr="0059058F">
        <w:rPr>
          <w:rFonts w:ascii="Effra Corp" w:eastAsia="Calibri" w:hAnsi="Effra Corp" w:cs="Effra Corp"/>
          <w:sz w:val="20"/>
          <w:szCs w:val="20"/>
          <w:lang w:val="el-GR" w:bidi="el-GR"/>
        </w:rPr>
        <w:t xml:space="preserve"> </w:t>
      </w:r>
      <w:r w:rsidR="0059058F">
        <w:rPr>
          <w:rFonts w:ascii="Effra Corp" w:eastAsia="Calibri" w:hAnsi="Effra Corp" w:cs="Effra Corp"/>
          <w:sz w:val="20"/>
          <w:szCs w:val="20"/>
          <w:lang w:val="el-GR" w:bidi="el-GR"/>
        </w:rPr>
        <w:t>αγορές μας.</w:t>
      </w:r>
    </w:p>
    <w:p w14:paraId="4E40C858" w14:textId="37642AC4" w:rsidR="005824E1" w:rsidRPr="000978E8" w:rsidRDefault="005824E1" w:rsidP="005824E1">
      <w:pPr>
        <w:pStyle w:val="Footer"/>
        <w:spacing w:after="120" w:line="12" w:lineRule="atLeast"/>
        <w:jc w:val="both"/>
        <w:rPr>
          <w:rFonts w:ascii="Effra Corp" w:eastAsia="Effra Corp" w:hAnsi="Effra Corp" w:cs="Arial"/>
          <w:b/>
          <w:color w:val="FF0000"/>
          <w:spacing w:val="-2"/>
          <w:sz w:val="20"/>
          <w:szCs w:val="20"/>
          <w:lang w:val="el-GR" w:bidi="el-GR"/>
        </w:rPr>
      </w:pPr>
      <w:bookmarkStart w:id="0" w:name="_Hlk6318035"/>
      <w:r w:rsidRPr="000978E8">
        <w:rPr>
          <w:rFonts w:ascii="Effra Corp" w:eastAsia="Effra Corp" w:hAnsi="Effra Corp" w:cs="Arial"/>
          <w:b/>
          <w:color w:val="FF0000"/>
          <w:spacing w:val="-2"/>
          <w:sz w:val="20"/>
          <w:szCs w:val="20"/>
          <w:lang w:val="el-GR" w:bidi="el-GR"/>
        </w:rPr>
        <w:t>Αναπτυγμένες αγορές: Ελλάδα</w:t>
      </w:r>
    </w:p>
    <w:bookmarkEnd w:id="0"/>
    <w:p w14:paraId="2652C9C9" w14:textId="2BE9E44E" w:rsidR="005824E1" w:rsidRDefault="005824E1" w:rsidP="005824E1">
      <w:pPr>
        <w:pStyle w:val="Footer"/>
        <w:spacing w:after="120" w:line="12" w:lineRule="atLeast"/>
        <w:jc w:val="both"/>
        <w:rPr>
          <w:rFonts w:ascii="Effra Corp" w:eastAsia="Calibri" w:hAnsi="Effra Corp" w:cs="Effra Corp"/>
          <w:sz w:val="20"/>
          <w:szCs w:val="20"/>
          <w:lang w:val="el-GR" w:bidi="el-GR"/>
        </w:rPr>
      </w:pPr>
      <w:r w:rsidRPr="004F67C8">
        <w:rPr>
          <w:rFonts w:ascii="Effra Corp" w:eastAsia="Calibri" w:hAnsi="Effra Corp" w:cs="Effra Corp"/>
          <w:sz w:val="20"/>
          <w:szCs w:val="20"/>
          <w:lang w:val="el-GR" w:bidi="el-GR"/>
        </w:rPr>
        <w:t xml:space="preserve">Οι όγκοι στην Ελλάδα αυξήθηκαν κατά υψηλό μονοψήφιο </w:t>
      </w:r>
      <w:r w:rsidR="002D217A">
        <w:rPr>
          <w:rFonts w:ascii="Effra Corp" w:eastAsia="Calibri" w:hAnsi="Effra Corp" w:cs="Effra Corp"/>
          <w:sz w:val="20"/>
          <w:szCs w:val="20"/>
          <w:lang w:val="el-GR" w:bidi="el-GR"/>
        </w:rPr>
        <w:t>ποσοστό</w:t>
      </w:r>
      <w:r w:rsidRPr="004F67C8">
        <w:rPr>
          <w:rFonts w:ascii="Effra Corp" w:eastAsia="Calibri" w:hAnsi="Effra Corp" w:cs="Effra Corp"/>
          <w:sz w:val="20"/>
          <w:szCs w:val="20"/>
          <w:lang w:val="el-GR" w:bidi="el-GR"/>
        </w:rPr>
        <w:t>. Ο όγκος πωλήσεων στα μη ανθρακούχα αναψυκτικά αυξήθηκε</w:t>
      </w:r>
      <w:r>
        <w:rPr>
          <w:rFonts w:ascii="Effra Corp" w:eastAsia="Calibri" w:hAnsi="Effra Corp" w:cs="Effra Corp"/>
          <w:sz w:val="20"/>
          <w:szCs w:val="20"/>
          <w:lang w:val="el-GR" w:bidi="el-GR"/>
        </w:rPr>
        <w:t xml:space="preserve"> στο μέσο επίπεδο του εύρους 10-15%</w:t>
      </w:r>
      <w:r w:rsidRPr="001F6DC3">
        <w:rPr>
          <w:rFonts w:ascii="Effra Corp" w:eastAsia="Calibri" w:hAnsi="Effra Corp" w:cs="Effra Corp"/>
          <w:sz w:val="20"/>
          <w:szCs w:val="20"/>
          <w:lang w:val="el-GR" w:bidi="el-GR"/>
        </w:rPr>
        <w:t>, χάρη στο νερό</w:t>
      </w:r>
      <w:r w:rsidRPr="004F67C8">
        <w:rPr>
          <w:rFonts w:ascii="Effra Corp" w:eastAsia="Calibri" w:hAnsi="Effra Corp" w:cs="Effra Corp"/>
          <w:sz w:val="20"/>
          <w:szCs w:val="20"/>
          <w:lang w:val="el-GR" w:bidi="el-GR"/>
        </w:rPr>
        <w:t xml:space="preserve">, το οποίο κατέγραψε καλές επιδόσεις στο κανάλι της εκτός σπιτιού κατανάλωσης. Η κατηγορία των ανθρακούχων </w:t>
      </w:r>
      <w:r>
        <w:rPr>
          <w:rFonts w:ascii="Effra Corp" w:eastAsia="Calibri" w:hAnsi="Effra Corp" w:cs="Effra Corp"/>
          <w:sz w:val="20"/>
          <w:szCs w:val="20"/>
          <w:lang w:val="el-GR" w:bidi="el-GR"/>
        </w:rPr>
        <w:t xml:space="preserve">αναψυκτικών </w:t>
      </w:r>
      <w:r w:rsidRPr="004F67C8">
        <w:rPr>
          <w:rFonts w:ascii="Effra Corp" w:eastAsia="Calibri" w:hAnsi="Effra Corp" w:cs="Effra Corp"/>
          <w:sz w:val="20"/>
          <w:szCs w:val="20"/>
          <w:lang w:val="el-GR" w:bidi="el-GR"/>
        </w:rPr>
        <w:t xml:space="preserve">αυξήθηκε κατά χαμηλό μονοψήφιο ποσοστό, κυρίως </w:t>
      </w:r>
      <w:r>
        <w:rPr>
          <w:rFonts w:ascii="Effra Corp" w:eastAsia="Calibri" w:hAnsi="Effra Corp" w:cs="Effra Corp"/>
          <w:sz w:val="20"/>
          <w:szCs w:val="20"/>
          <w:lang w:val="el-GR" w:bidi="el-GR"/>
        </w:rPr>
        <w:t>λόγω των επιδόσεων που σημείωσαν</w:t>
      </w:r>
      <w:r w:rsidRPr="004F67C8">
        <w:rPr>
          <w:rFonts w:ascii="Effra Corp" w:eastAsia="Calibri" w:hAnsi="Effra Corp" w:cs="Effra Corp"/>
          <w:sz w:val="20"/>
          <w:szCs w:val="20"/>
          <w:lang w:val="el-GR" w:bidi="el-GR"/>
        </w:rPr>
        <w:t xml:space="preserve"> τα ανθρακούχα αναψυκτικά για ενήλικες, ενώ τα ποτά ενέργειας συνέχισαν να καταγράφουν διψήφια αύξηση.</w:t>
      </w:r>
    </w:p>
    <w:p w14:paraId="47F5A94F" w14:textId="77777777" w:rsidR="00632845" w:rsidRPr="00613A34" w:rsidRDefault="00632845" w:rsidP="00632845">
      <w:pPr>
        <w:rPr>
          <w:rFonts w:ascii="Effra Corp" w:hAnsi="Effra Corp" w:cs="Arial"/>
          <w:b/>
          <w:bCs/>
          <w:color w:val="C00000"/>
          <w:spacing w:val="-2"/>
          <w:sz w:val="20"/>
          <w:szCs w:val="20"/>
          <w:lang w:val="el-GR"/>
        </w:rPr>
      </w:pPr>
    </w:p>
    <w:p w14:paraId="0BAC61F4" w14:textId="77777777" w:rsidR="0054414F" w:rsidRPr="00613A34" w:rsidRDefault="0054414F">
      <w:pPr>
        <w:rPr>
          <w:rFonts w:ascii="Effra Corp" w:hAnsi="Effra Corp" w:cs="Arial"/>
          <w:spacing w:val="-2"/>
          <w:sz w:val="20"/>
          <w:szCs w:val="20"/>
          <w:lang w:val="el-GR"/>
        </w:rPr>
      </w:pPr>
      <w:r w:rsidRPr="00613A34">
        <w:rPr>
          <w:rFonts w:ascii="Effra Corp" w:eastAsia="Effra Corp" w:hAnsi="Effra Corp" w:cs="Arial"/>
          <w:spacing w:val="-2"/>
          <w:sz w:val="20"/>
          <w:szCs w:val="20"/>
          <w:lang w:val="el-GR" w:bidi="el-GR"/>
        </w:rPr>
        <w:br w:type="page"/>
      </w:r>
    </w:p>
    <w:p w14:paraId="6F367E6B" w14:textId="77777777" w:rsidR="00BC047C" w:rsidRPr="004F67C8" w:rsidRDefault="00085ED5" w:rsidP="00A81316">
      <w:pPr>
        <w:pStyle w:val="BodyText3"/>
        <w:shd w:val="clear" w:color="auto" w:fill="BFBFBF" w:themeFill="background1" w:themeFillShade="BF"/>
        <w:spacing w:after="120"/>
        <w:ind w:right="-77"/>
        <w:rPr>
          <w:rFonts w:ascii="Effra Corp" w:hAnsi="Effra Corp" w:cs="Arial"/>
          <w:b/>
          <w:bCs/>
          <w:spacing w:val="-2"/>
          <w:sz w:val="20"/>
          <w:szCs w:val="20"/>
          <w:lang w:val="el-GR"/>
        </w:rPr>
      </w:pPr>
      <w:bookmarkStart w:id="1" w:name="_Hlk527391740"/>
      <w:r w:rsidRPr="004F67C8">
        <w:rPr>
          <w:rFonts w:ascii="Effra Corp" w:eastAsia="Effra Corp" w:hAnsi="Effra Corp" w:cs="Arial"/>
          <w:b/>
          <w:spacing w:val="-2"/>
          <w:sz w:val="20"/>
          <w:szCs w:val="20"/>
          <w:lang w:val="el-GR" w:bidi="el-GR"/>
        </w:rPr>
        <w:lastRenderedPageBreak/>
        <w:t>Όμιλος Coca-Cola HBC</w:t>
      </w:r>
    </w:p>
    <w:p w14:paraId="12AFDB5D" w14:textId="77777777" w:rsidR="00907494" w:rsidRPr="004F67C8" w:rsidRDefault="00907494" w:rsidP="00907494">
      <w:pPr>
        <w:spacing w:after="60"/>
        <w:jc w:val="both"/>
        <w:rPr>
          <w:rFonts w:ascii="Effra Corp" w:hAnsi="Effra Corp" w:cs="Calibri"/>
          <w:sz w:val="20"/>
          <w:szCs w:val="20"/>
          <w:lang w:val="el-GR"/>
        </w:rPr>
      </w:pPr>
      <w:r w:rsidRPr="004F67C8">
        <w:rPr>
          <w:rFonts w:ascii="Effra Corp" w:eastAsia="Effra Corp" w:hAnsi="Effra Corp" w:cs="Calibri"/>
          <w:sz w:val="20"/>
          <w:szCs w:val="20"/>
          <w:lang w:val="el-GR" w:bidi="el-GR"/>
        </w:rPr>
        <w:t>Η Coca-Cola HBC είναι Όμιλος παραγωγής καταναλωτικών προϊόντων και στρατηγικός εταίρος εμφιάλωσης της The Coca-Cola </w:t>
      </w:r>
      <w:proofErr w:type="spellStart"/>
      <w:r w:rsidRPr="004F67C8">
        <w:rPr>
          <w:rFonts w:ascii="Effra Corp" w:eastAsia="Effra Corp" w:hAnsi="Effra Corp" w:cs="Calibri"/>
          <w:sz w:val="20"/>
          <w:szCs w:val="20"/>
          <w:lang w:val="el-GR" w:bidi="el-GR"/>
        </w:rPr>
        <w:t>Company</w:t>
      </w:r>
      <w:proofErr w:type="spellEnd"/>
      <w:r w:rsidRPr="004F67C8">
        <w:rPr>
          <w:rFonts w:ascii="Effra Corp" w:eastAsia="Effra Corp" w:hAnsi="Effra Corp" w:cs="Calibri"/>
          <w:sz w:val="20"/>
          <w:szCs w:val="20"/>
          <w:lang w:val="el-GR" w:bidi="el-GR"/>
        </w:rPr>
        <w:t xml:space="preserve">. Δημιουργούμε αξία για όλους τους κοινωνικούς εταίρους μας στηρίζοντας ενεργά την κοινωνικοοικονομική ανάπτυξη των κοινοτήτων όπου δραστηριοποιούμαστε και πιστεύουμε ότι η μελλοντική ανάπτυξή μας συνδέεται στενά με τη δέσμευσή μας για έναν θετικότερο αντίκτυπο στο περιβάλλον. Από κοινού, οι πελάτες μας και εμείς εξυπηρετούμε 715 εκατομμύρια καταναλωτές σε μια ευρεία γεωγραφική περιοχή που καλύπτει 29 χώρες σε τρεις ηπείρους. Το χαρτοφυλάκιό μας είναι ένα από τα πιο ισχυρά, τα πιο πλούσια και τα πιο ευέλικτα στη βιομηχανία ποτών και αναψυκτικών, καθώς προσφέρει κορυφαία σήματα στις κατηγορίες των ανθρακούχων αναψυκτικών, των χυμών, του εμφιαλωμένου νερού, των ποτών για </w:t>
      </w:r>
      <w:proofErr w:type="spellStart"/>
      <w:r w:rsidRPr="004F67C8">
        <w:rPr>
          <w:rFonts w:ascii="Effra Corp" w:eastAsia="Effra Corp" w:hAnsi="Effra Corp" w:cs="Calibri"/>
          <w:sz w:val="20"/>
          <w:szCs w:val="20"/>
          <w:lang w:val="el-GR" w:bidi="el-GR"/>
        </w:rPr>
        <w:t>αθλούμενους</w:t>
      </w:r>
      <w:proofErr w:type="spellEnd"/>
      <w:r w:rsidRPr="004F67C8">
        <w:rPr>
          <w:rFonts w:ascii="Effra Corp" w:eastAsia="Effra Corp" w:hAnsi="Effra Corp" w:cs="Calibri"/>
          <w:sz w:val="20"/>
          <w:szCs w:val="20"/>
          <w:lang w:val="el-GR" w:bidi="el-GR"/>
        </w:rPr>
        <w:t xml:space="preserve">, των ποτών ενέργειας, των ποτών βασισμένων σε φυτά, του έτοιμου προς κατανάλωση τσαγιού, του καφέ, των ανθρακούχων αναψυκτικών για ενήλικες και των </w:t>
      </w:r>
      <w:proofErr w:type="spellStart"/>
      <w:r w:rsidRPr="004F67C8">
        <w:rPr>
          <w:rFonts w:ascii="Effra Corp" w:eastAsia="Effra Corp" w:hAnsi="Effra Corp" w:cs="Calibri"/>
          <w:sz w:val="20"/>
          <w:szCs w:val="20"/>
          <w:lang w:val="el-GR" w:bidi="el-GR"/>
        </w:rPr>
        <w:t>premium</w:t>
      </w:r>
      <w:proofErr w:type="spellEnd"/>
      <w:r w:rsidRPr="004F67C8">
        <w:rPr>
          <w:rFonts w:ascii="Effra Corp" w:eastAsia="Effra Corp" w:hAnsi="Effra Corp" w:cs="Calibri"/>
          <w:sz w:val="20"/>
          <w:szCs w:val="20"/>
          <w:lang w:val="el-GR" w:bidi="el-GR"/>
        </w:rPr>
        <w:t xml:space="preserve"> οινοπνευματωδών ποτών. Τα αναψυκτικά αυτά περιλαμβάνουν τα εξής σήματα: Coca-Cola, Coca-Cola </w:t>
      </w:r>
      <w:proofErr w:type="spellStart"/>
      <w:r w:rsidRPr="004F67C8">
        <w:rPr>
          <w:rFonts w:ascii="Effra Corp" w:eastAsia="Effra Corp" w:hAnsi="Effra Corp" w:cs="Calibri"/>
          <w:sz w:val="20"/>
          <w:szCs w:val="20"/>
          <w:lang w:val="el-GR" w:bidi="el-GR"/>
        </w:rPr>
        <w:t>Zero</w:t>
      </w:r>
      <w:proofErr w:type="spellEnd"/>
      <w:r w:rsidRPr="004F67C8">
        <w:rPr>
          <w:rFonts w:ascii="Effra Corp" w:eastAsia="Effra Corp" w:hAnsi="Effra Corp" w:cs="Calibri"/>
          <w:sz w:val="20"/>
          <w:szCs w:val="20"/>
          <w:lang w:val="el-GR" w:bidi="el-GR"/>
        </w:rPr>
        <w:t xml:space="preserve">, </w:t>
      </w:r>
      <w:proofErr w:type="spellStart"/>
      <w:r w:rsidRPr="004F67C8">
        <w:rPr>
          <w:rFonts w:ascii="Effra Corp" w:eastAsia="Effra Corp" w:hAnsi="Effra Corp" w:cs="Calibri"/>
          <w:sz w:val="20"/>
          <w:szCs w:val="20"/>
          <w:lang w:val="el-GR" w:bidi="el-GR"/>
        </w:rPr>
        <w:t>Schweppes</w:t>
      </w:r>
      <w:proofErr w:type="spellEnd"/>
      <w:r w:rsidRPr="004F67C8">
        <w:rPr>
          <w:rFonts w:ascii="Effra Corp" w:eastAsia="Effra Corp" w:hAnsi="Effra Corp" w:cs="Calibri"/>
          <w:sz w:val="20"/>
          <w:szCs w:val="20"/>
          <w:lang w:val="el-GR" w:bidi="el-GR"/>
        </w:rPr>
        <w:t xml:space="preserve">, </w:t>
      </w:r>
      <w:proofErr w:type="spellStart"/>
      <w:r w:rsidRPr="004F67C8">
        <w:rPr>
          <w:rFonts w:ascii="Effra Corp" w:eastAsia="Effra Corp" w:hAnsi="Effra Corp" w:cs="Calibri"/>
          <w:sz w:val="20"/>
          <w:szCs w:val="20"/>
          <w:lang w:val="el-GR" w:bidi="el-GR"/>
        </w:rPr>
        <w:t>Kinley</w:t>
      </w:r>
      <w:proofErr w:type="spellEnd"/>
      <w:r w:rsidRPr="004F67C8">
        <w:rPr>
          <w:rFonts w:ascii="Effra Corp" w:eastAsia="Effra Corp" w:hAnsi="Effra Corp" w:cs="Calibri"/>
          <w:sz w:val="20"/>
          <w:szCs w:val="20"/>
          <w:lang w:val="el-GR" w:bidi="el-GR"/>
        </w:rPr>
        <w:t xml:space="preserve">, </w:t>
      </w:r>
      <w:proofErr w:type="spellStart"/>
      <w:r w:rsidRPr="004F67C8">
        <w:rPr>
          <w:rFonts w:ascii="Effra Corp" w:eastAsia="Effra Corp" w:hAnsi="Effra Corp" w:cs="Calibri"/>
          <w:sz w:val="20"/>
          <w:szCs w:val="20"/>
          <w:lang w:val="el-GR" w:bidi="el-GR"/>
        </w:rPr>
        <w:t>Costa</w:t>
      </w:r>
      <w:proofErr w:type="spellEnd"/>
      <w:r w:rsidRPr="004F67C8">
        <w:rPr>
          <w:rFonts w:ascii="Effra Corp" w:eastAsia="Effra Corp" w:hAnsi="Effra Corp" w:cs="Calibri"/>
          <w:sz w:val="20"/>
          <w:szCs w:val="20"/>
          <w:lang w:val="el-GR" w:bidi="el-GR"/>
        </w:rPr>
        <w:t xml:space="preserve">, </w:t>
      </w:r>
      <w:proofErr w:type="spellStart"/>
      <w:r w:rsidRPr="004F67C8">
        <w:rPr>
          <w:rFonts w:ascii="Effra Corp" w:eastAsia="Effra Corp" w:hAnsi="Effra Corp" w:cs="Calibri"/>
          <w:sz w:val="20"/>
          <w:szCs w:val="20"/>
          <w:lang w:val="el-GR" w:bidi="el-GR"/>
        </w:rPr>
        <w:t>Valser</w:t>
      </w:r>
      <w:proofErr w:type="spellEnd"/>
      <w:r w:rsidRPr="004F67C8">
        <w:rPr>
          <w:rFonts w:ascii="Effra Corp" w:eastAsia="Effra Corp" w:hAnsi="Effra Corp" w:cs="Calibri"/>
          <w:sz w:val="20"/>
          <w:szCs w:val="20"/>
          <w:lang w:val="el-GR" w:bidi="el-GR"/>
        </w:rPr>
        <w:t xml:space="preserve">, </w:t>
      </w:r>
      <w:proofErr w:type="spellStart"/>
      <w:r w:rsidRPr="004F67C8">
        <w:rPr>
          <w:rFonts w:ascii="Effra Corp" w:eastAsia="Effra Corp" w:hAnsi="Effra Corp" w:cs="Calibri"/>
          <w:sz w:val="20"/>
          <w:szCs w:val="20"/>
          <w:lang w:val="el-GR" w:bidi="el-GR"/>
        </w:rPr>
        <w:t>Romerquelle</w:t>
      </w:r>
      <w:proofErr w:type="spellEnd"/>
      <w:r w:rsidRPr="004F67C8">
        <w:rPr>
          <w:rFonts w:ascii="Effra Corp" w:eastAsia="Effra Corp" w:hAnsi="Effra Corp" w:cs="Calibri"/>
          <w:sz w:val="20"/>
          <w:szCs w:val="20"/>
          <w:lang w:val="el-GR" w:bidi="el-GR"/>
        </w:rPr>
        <w:t xml:space="preserve">, </w:t>
      </w:r>
      <w:proofErr w:type="spellStart"/>
      <w:r w:rsidRPr="004F67C8">
        <w:rPr>
          <w:rFonts w:ascii="Effra Corp" w:eastAsia="Effra Corp" w:hAnsi="Effra Corp" w:cs="Calibri"/>
          <w:sz w:val="20"/>
          <w:szCs w:val="20"/>
          <w:lang w:val="el-GR" w:bidi="el-GR"/>
        </w:rPr>
        <w:t>Fanta</w:t>
      </w:r>
      <w:proofErr w:type="spellEnd"/>
      <w:r w:rsidRPr="004F67C8">
        <w:rPr>
          <w:rFonts w:ascii="Effra Corp" w:eastAsia="Effra Corp" w:hAnsi="Effra Corp" w:cs="Calibri"/>
          <w:sz w:val="20"/>
          <w:szCs w:val="20"/>
          <w:lang w:val="el-GR" w:bidi="el-GR"/>
        </w:rPr>
        <w:t xml:space="preserve">, </w:t>
      </w:r>
      <w:proofErr w:type="spellStart"/>
      <w:r w:rsidRPr="004F67C8">
        <w:rPr>
          <w:rFonts w:ascii="Effra Corp" w:eastAsia="Effra Corp" w:hAnsi="Effra Corp" w:cs="Calibri"/>
          <w:sz w:val="20"/>
          <w:szCs w:val="20"/>
          <w:lang w:val="el-GR" w:bidi="el-GR"/>
        </w:rPr>
        <w:t>Sprite</w:t>
      </w:r>
      <w:proofErr w:type="spellEnd"/>
      <w:r w:rsidRPr="004F67C8">
        <w:rPr>
          <w:rFonts w:ascii="Effra Corp" w:eastAsia="Effra Corp" w:hAnsi="Effra Corp" w:cs="Calibri"/>
          <w:sz w:val="20"/>
          <w:szCs w:val="20"/>
          <w:lang w:val="el-GR" w:bidi="el-GR"/>
        </w:rPr>
        <w:t xml:space="preserve">, </w:t>
      </w:r>
      <w:proofErr w:type="spellStart"/>
      <w:r w:rsidRPr="004F67C8">
        <w:rPr>
          <w:rFonts w:ascii="Effra Corp" w:eastAsia="Effra Corp" w:hAnsi="Effra Corp" w:cs="Calibri"/>
          <w:sz w:val="20"/>
          <w:szCs w:val="20"/>
          <w:lang w:val="el-GR" w:bidi="el-GR"/>
        </w:rPr>
        <w:t>Powerade</w:t>
      </w:r>
      <w:proofErr w:type="spellEnd"/>
      <w:r w:rsidRPr="004F67C8">
        <w:rPr>
          <w:rFonts w:ascii="Effra Corp" w:eastAsia="Effra Corp" w:hAnsi="Effra Corp" w:cs="Calibri"/>
          <w:sz w:val="20"/>
          <w:szCs w:val="20"/>
          <w:lang w:val="el-GR" w:bidi="el-GR"/>
        </w:rPr>
        <w:t xml:space="preserve">, </w:t>
      </w:r>
      <w:proofErr w:type="spellStart"/>
      <w:r w:rsidRPr="004F67C8">
        <w:rPr>
          <w:rFonts w:ascii="Effra Corp" w:eastAsia="Effra Corp" w:hAnsi="Effra Corp" w:cs="Calibri"/>
          <w:sz w:val="20"/>
          <w:szCs w:val="20"/>
          <w:lang w:val="el-GR" w:bidi="el-GR"/>
        </w:rPr>
        <w:t>FuzeTea</w:t>
      </w:r>
      <w:proofErr w:type="spellEnd"/>
      <w:r w:rsidRPr="004F67C8">
        <w:rPr>
          <w:rFonts w:ascii="Effra Corp" w:eastAsia="Effra Corp" w:hAnsi="Effra Corp" w:cs="Calibri"/>
          <w:sz w:val="20"/>
          <w:szCs w:val="20"/>
          <w:lang w:val="el-GR" w:bidi="el-GR"/>
        </w:rPr>
        <w:t xml:space="preserve">, </w:t>
      </w:r>
      <w:proofErr w:type="spellStart"/>
      <w:r w:rsidRPr="004F67C8">
        <w:rPr>
          <w:rFonts w:ascii="Effra Corp" w:eastAsia="Effra Corp" w:hAnsi="Effra Corp" w:cs="Calibri"/>
          <w:sz w:val="20"/>
          <w:szCs w:val="20"/>
          <w:lang w:val="el-GR" w:bidi="el-GR"/>
        </w:rPr>
        <w:t>Dobry</w:t>
      </w:r>
      <w:proofErr w:type="spellEnd"/>
      <w:r w:rsidRPr="004F67C8">
        <w:rPr>
          <w:rFonts w:ascii="Effra Corp" w:eastAsia="Effra Corp" w:hAnsi="Effra Corp" w:cs="Calibri"/>
          <w:sz w:val="20"/>
          <w:szCs w:val="20"/>
          <w:lang w:val="el-GR" w:bidi="el-GR"/>
        </w:rPr>
        <w:t xml:space="preserve">, </w:t>
      </w:r>
      <w:proofErr w:type="spellStart"/>
      <w:r w:rsidRPr="004F67C8">
        <w:rPr>
          <w:rFonts w:ascii="Effra Corp" w:eastAsia="Effra Corp" w:hAnsi="Effra Corp" w:cs="Calibri"/>
          <w:sz w:val="20"/>
          <w:szCs w:val="20"/>
          <w:lang w:val="el-GR" w:bidi="el-GR"/>
        </w:rPr>
        <w:t>Cappy</w:t>
      </w:r>
      <w:proofErr w:type="spellEnd"/>
      <w:r w:rsidRPr="004F67C8">
        <w:rPr>
          <w:rFonts w:ascii="Effra Corp" w:eastAsia="Effra Corp" w:hAnsi="Effra Corp" w:cs="Calibri"/>
          <w:sz w:val="20"/>
          <w:szCs w:val="20"/>
          <w:lang w:val="el-GR" w:bidi="el-GR"/>
        </w:rPr>
        <w:t xml:space="preserve">, </w:t>
      </w:r>
      <w:proofErr w:type="spellStart"/>
      <w:r w:rsidRPr="004F67C8">
        <w:rPr>
          <w:rFonts w:ascii="Effra Corp" w:eastAsia="Effra Corp" w:hAnsi="Effra Corp" w:cs="Calibri"/>
          <w:sz w:val="20"/>
          <w:szCs w:val="20"/>
          <w:lang w:val="el-GR" w:bidi="el-GR"/>
        </w:rPr>
        <w:t>Monster</w:t>
      </w:r>
      <w:proofErr w:type="spellEnd"/>
      <w:r w:rsidRPr="004F67C8">
        <w:rPr>
          <w:rFonts w:ascii="Effra Corp" w:eastAsia="Effra Corp" w:hAnsi="Effra Corp" w:cs="Calibri"/>
          <w:sz w:val="20"/>
          <w:szCs w:val="20"/>
          <w:lang w:val="el-GR" w:bidi="el-GR"/>
        </w:rPr>
        <w:t xml:space="preserve"> και </w:t>
      </w:r>
      <w:proofErr w:type="spellStart"/>
      <w:r w:rsidRPr="004F67C8">
        <w:rPr>
          <w:rFonts w:ascii="Effra Corp" w:eastAsia="Effra Corp" w:hAnsi="Effra Corp" w:cs="Calibri"/>
          <w:sz w:val="20"/>
          <w:szCs w:val="20"/>
          <w:lang w:val="el-GR" w:bidi="el-GR"/>
        </w:rPr>
        <w:t>Adez</w:t>
      </w:r>
      <w:proofErr w:type="spellEnd"/>
      <w:r w:rsidRPr="004F67C8">
        <w:rPr>
          <w:rFonts w:ascii="Effra Corp" w:eastAsia="Effra Corp" w:hAnsi="Effra Corp" w:cs="Calibri"/>
          <w:sz w:val="20"/>
          <w:szCs w:val="20"/>
          <w:lang w:val="el-GR" w:bidi="el-GR"/>
        </w:rPr>
        <w:t>. Προάγουμε ένα ανοικτό περιβάλλον εργασίας χωρίς αποκλεισμούς για τους 36.000 εργαζομένους μας, ενώ βρισκόμαστε στις πρώτες θέσεις αποτελεσμάτων βιωσιμότητας στους δείκτες αναφοράς ESG (Περιβάλλον, Κοινωνία, Διακυβέρνηση), όπως τους Δείκτες Βιωσιμότητας Dow </w:t>
      </w:r>
      <w:proofErr w:type="spellStart"/>
      <w:r w:rsidRPr="004F67C8">
        <w:rPr>
          <w:rFonts w:ascii="Effra Corp" w:eastAsia="Effra Corp" w:hAnsi="Effra Corp" w:cs="Calibri"/>
          <w:sz w:val="20"/>
          <w:szCs w:val="20"/>
          <w:lang w:val="el-GR" w:bidi="el-GR"/>
        </w:rPr>
        <w:t>Jones</w:t>
      </w:r>
      <w:proofErr w:type="spellEnd"/>
      <w:r w:rsidRPr="004F67C8">
        <w:rPr>
          <w:rFonts w:ascii="Effra Corp" w:eastAsia="Effra Corp" w:hAnsi="Effra Corp" w:cs="Calibri"/>
          <w:sz w:val="20"/>
          <w:szCs w:val="20"/>
          <w:lang w:val="el-GR" w:bidi="el-GR"/>
        </w:rPr>
        <w:t xml:space="preserve"> και τους Δείκτες CDP, MSCI ESG και FTSE4Good.</w:t>
      </w:r>
    </w:p>
    <w:p w14:paraId="7F7F3734" w14:textId="461ED400" w:rsidR="00907494" w:rsidRPr="004F67C8" w:rsidRDefault="00907494" w:rsidP="00907494">
      <w:pPr>
        <w:spacing w:after="60"/>
        <w:jc w:val="both"/>
        <w:rPr>
          <w:rFonts w:ascii="Effra Corp" w:hAnsi="Effra Corp" w:cs="Calibri"/>
          <w:sz w:val="20"/>
          <w:szCs w:val="20"/>
          <w:lang w:val="el-GR"/>
        </w:rPr>
      </w:pPr>
      <w:r w:rsidRPr="004F67C8">
        <w:rPr>
          <w:rFonts w:ascii="Effra Corp" w:eastAsia="Effra Corp" w:hAnsi="Effra Corp" w:cs="Calibri"/>
          <w:sz w:val="20"/>
          <w:szCs w:val="20"/>
          <w:lang w:val="el-GR" w:bidi="el-GR"/>
        </w:rPr>
        <w:t xml:space="preserve">Η Coca-Cola HBC είναι εισηγμένη στην </w:t>
      </w:r>
      <w:proofErr w:type="spellStart"/>
      <w:r w:rsidRPr="004F67C8">
        <w:rPr>
          <w:rFonts w:ascii="Effra Corp" w:eastAsia="Effra Corp" w:hAnsi="Effra Corp" w:cs="Calibri"/>
          <w:sz w:val="20"/>
          <w:szCs w:val="20"/>
          <w:lang w:val="el-GR" w:bidi="el-GR"/>
        </w:rPr>
        <w:t>premium</w:t>
      </w:r>
      <w:proofErr w:type="spellEnd"/>
      <w:r w:rsidRPr="004F67C8">
        <w:rPr>
          <w:rFonts w:ascii="Effra Corp" w:eastAsia="Effra Corp" w:hAnsi="Effra Corp" w:cs="Calibri"/>
          <w:sz w:val="20"/>
          <w:szCs w:val="20"/>
          <w:lang w:val="el-GR" w:bidi="el-GR"/>
        </w:rPr>
        <w:t xml:space="preserve"> κατηγορία του Χρηματιστηρίου Αξιών του Λονδίνου (LSE: CCH), καθώς και στο Χρηματιστήριο Αξιών Αθηνών (ATHEX: EEE). Για περισσότερες πληροφορίες, ανατρέξτε στη διεύθυνση </w:t>
      </w:r>
      <w:hyperlink r:id="rId12" w:history="1">
        <w:r w:rsidR="004C1D53" w:rsidRPr="004F67C8">
          <w:rPr>
            <w:rStyle w:val="Hyperlink"/>
            <w:rFonts w:ascii="Effra Corp" w:eastAsia="Effra Corp" w:hAnsi="Effra Corp" w:cs="Calibri"/>
            <w:sz w:val="20"/>
            <w:szCs w:val="20"/>
            <w:lang w:val="el-GR" w:bidi="el-GR"/>
          </w:rPr>
          <w:t>https://www.coca-colahellenic.com/</w:t>
        </w:r>
      </w:hyperlink>
    </w:p>
    <w:p w14:paraId="3B014B98" w14:textId="77777777" w:rsidR="000F6174" w:rsidRPr="004F67C8" w:rsidRDefault="000F6174" w:rsidP="000F6174">
      <w:pPr>
        <w:jc w:val="both"/>
        <w:rPr>
          <w:rFonts w:ascii="Effra Corp" w:hAnsi="Effra Corp" w:cs="Calibri"/>
          <w:sz w:val="16"/>
          <w:szCs w:val="16"/>
          <w:lang w:val="el-GR"/>
        </w:rPr>
      </w:pPr>
    </w:p>
    <w:p w14:paraId="7421A9A0" w14:textId="77777777" w:rsidR="009A7AE1" w:rsidRPr="004F67C8" w:rsidRDefault="006E0ADB" w:rsidP="00887593">
      <w:pPr>
        <w:pStyle w:val="BodyText3"/>
        <w:shd w:val="clear" w:color="auto" w:fill="BFBFBF" w:themeFill="background1" w:themeFillShade="BF"/>
        <w:spacing w:after="120"/>
        <w:ind w:right="-77"/>
        <w:rPr>
          <w:rFonts w:ascii="Effra Corp" w:hAnsi="Effra Corp" w:cs="Arial"/>
          <w:b/>
          <w:bCs/>
          <w:spacing w:val="-2"/>
          <w:sz w:val="20"/>
          <w:szCs w:val="20"/>
          <w:lang w:val="el-GR"/>
        </w:rPr>
      </w:pPr>
      <w:r w:rsidRPr="004F67C8">
        <w:rPr>
          <w:rFonts w:ascii="Effra Corp" w:eastAsia="Effra Corp" w:hAnsi="Effra Corp" w:cs="Arial"/>
          <w:b/>
          <w:spacing w:val="-2"/>
          <w:sz w:val="20"/>
          <w:szCs w:val="20"/>
          <w:lang w:val="el-GR" w:bidi="el-GR"/>
        </w:rPr>
        <w:t>Πρόσκληση δικτυακής τηλεδιάσκεψης</w:t>
      </w:r>
    </w:p>
    <w:p w14:paraId="7903E93D" w14:textId="22776C5C" w:rsidR="00CE1E83" w:rsidRPr="004F67C8" w:rsidRDefault="00CE1E83" w:rsidP="00CE1E83">
      <w:pPr>
        <w:jc w:val="both"/>
        <w:rPr>
          <w:rFonts w:ascii="Effra Corp" w:hAnsi="Effra Corp"/>
          <w:color w:val="000000"/>
          <w:sz w:val="20"/>
          <w:szCs w:val="20"/>
          <w:lang w:val="el-GR"/>
        </w:rPr>
      </w:pPr>
      <w:bookmarkStart w:id="2" w:name="_Hlk101267386"/>
      <w:r w:rsidRPr="004F67C8">
        <w:rPr>
          <w:rFonts w:ascii="Effra Corp" w:eastAsia="Effra Corp" w:hAnsi="Effra Corp" w:cs="Effra Corp"/>
          <w:color w:val="000000"/>
          <w:sz w:val="20"/>
          <w:szCs w:val="20"/>
          <w:lang w:val="el-GR" w:bidi="el-GR"/>
        </w:rPr>
        <w:t xml:space="preserve">Η Coca-Cola HBC πρόκειται να διοργανώσει τηλεδιάσκεψη μεταξύ αναλυτών και επενδυτών του χρηματοοικονομικού τομέα, στην οποία θα συζητηθούν τα αποτελέσματα του πρώτου τριμήνου του 2022, την Πέμπτη, 12 Μαΐου 2022 και ώρα 9:00 π.μ. BST. Κάθε ενδιαφερόμενος/-η μπορεί να παρακολουθήσει την ταυτόχρονη ηχητική μετάδοση της τηλεδιάσκεψης στο δικτυακό τόπο της Coca-Cola HBC: </w:t>
      </w:r>
      <w:hyperlink r:id="rId13" w:history="1">
        <w:r w:rsidR="009225E9" w:rsidRPr="004F67C8">
          <w:rPr>
            <w:rStyle w:val="Hyperlink"/>
            <w:rFonts w:ascii="Effra Corp" w:eastAsia="Effra Corp" w:hAnsi="Effra Corp" w:cs="Effra Corp"/>
            <w:sz w:val="20"/>
            <w:szCs w:val="20"/>
            <w:lang w:val="el-GR" w:bidi="el-GR"/>
          </w:rPr>
          <w:t>https://www.coca-colahellenic.com/en/investor-relations</w:t>
        </w:r>
      </w:hyperlink>
      <w:r w:rsidR="000B283B" w:rsidRPr="00AE7FD1">
        <w:rPr>
          <w:rFonts w:eastAsia="Effra Corp"/>
          <w:color w:val="000000"/>
          <w:lang w:val="el-GR"/>
        </w:rPr>
        <w:t>.</w:t>
      </w:r>
    </w:p>
    <w:bookmarkEnd w:id="2"/>
    <w:p w14:paraId="2617C970" w14:textId="77777777" w:rsidR="00CE1E83" w:rsidRPr="004F67C8" w:rsidRDefault="00CE1E83" w:rsidP="00CE1E83">
      <w:pPr>
        <w:jc w:val="both"/>
        <w:rPr>
          <w:rFonts w:ascii="Effra Corp" w:hAnsi="Effra Corp" w:cs="Arial"/>
          <w:b/>
          <w:bCs/>
          <w:color w:val="000000"/>
          <w:sz w:val="20"/>
          <w:szCs w:val="20"/>
          <w:lang w:val="el-GR"/>
        </w:rPr>
      </w:pPr>
    </w:p>
    <w:p w14:paraId="7997A653" w14:textId="77777777" w:rsidR="00CE1E83" w:rsidRPr="004F67C8" w:rsidRDefault="00CE1E83" w:rsidP="00CE1E83">
      <w:pPr>
        <w:rPr>
          <w:rFonts w:ascii="Effra Corp" w:hAnsi="Effra Corp"/>
          <w:b/>
          <w:bCs/>
          <w:color w:val="000000"/>
          <w:sz w:val="20"/>
          <w:szCs w:val="20"/>
          <w:lang w:val="en-GB" w:eastAsia="en-US"/>
        </w:rPr>
      </w:pPr>
      <w:r w:rsidRPr="004F67C8">
        <w:rPr>
          <w:rFonts w:ascii="Effra Corp" w:eastAsia="Effra Corp" w:hAnsi="Effra Corp" w:cs="Effra Corp"/>
          <w:b/>
          <w:color w:val="000000"/>
          <w:sz w:val="20"/>
          <w:szCs w:val="20"/>
          <w:lang w:val="el-GR" w:bidi="el-GR"/>
        </w:rPr>
        <w:t>Επόμενη εκδήλωση</w:t>
      </w:r>
    </w:p>
    <w:tbl>
      <w:tblPr>
        <w:tblStyle w:val="TableGrid"/>
        <w:tblW w:w="9622"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21"/>
        <w:gridCol w:w="5201"/>
      </w:tblGrid>
      <w:tr w:rsidR="00CE1E83" w:rsidRPr="004F67C8" w14:paraId="0717976B" w14:textId="77777777" w:rsidTr="00CE1E83">
        <w:trPr>
          <w:trHeight w:val="365"/>
        </w:trPr>
        <w:tc>
          <w:tcPr>
            <w:tcW w:w="4421" w:type="dxa"/>
          </w:tcPr>
          <w:p w14:paraId="2496200C" w14:textId="6500AE32" w:rsidR="00CE1E83" w:rsidRPr="004F67C8" w:rsidRDefault="00CE1E83" w:rsidP="00CE1E83">
            <w:pPr>
              <w:pStyle w:val="BodyTextIndent"/>
              <w:ind w:right="-48"/>
              <w:rPr>
                <w:rFonts w:ascii="Effra Corp" w:hAnsi="Effra Corp"/>
                <w:color w:val="000000"/>
                <w:sz w:val="20"/>
                <w:szCs w:val="20"/>
                <w:u w:val="none"/>
                <w:lang w:val="en-GB"/>
              </w:rPr>
            </w:pPr>
            <w:bookmarkStart w:id="3" w:name="_Hlk101267408"/>
            <w:r w:rsidRPr="004F67C8">
              <w:rPr>
                <w:rFonts w:ascii="Effra Corp" w:eastAsia="Effra Corp" w:hAnsi="Effra Corp" w:cs="Effra Corp"/>
                <w:color w:val="000000"/>
                <w:sz w:val="20"/>
                <w:szCs w:val="20"/>
                <w:u w:val="none"/>
                <w:lang w:val="el-GR" w:bidi="el-GR"/>
              </w:rPr>
              <w:t>11 Αυγούστου 2022</w:t>
            </w:r>
            <w:r w:rsidRPr="004F67C8">
              <w:rPr>
                <w:rFonts w:ascii="Effra Corp" w:eastAsia="Effra Corp" w:hAnsi="Effra Corp" w:cs="Effra Corp"/>
                <w:color w:val="000000"/>
                <w:sz w:val="20"/>
                <w:szCs w:val="20"/>
                <w:u w:val="none"/>
                <w:lang w:val="el-GR" w:bidi="el-GR"/>
              </w:rPr>
              <w:tab/>
            </w:r>
          </w:p>
        </w:tc>
        <w:tc>
          <w:tcPr>
            <w:tcW w:w="5201" w:type="dxa"/>
          </w:tcPr>
          <w:p w14:paraId="2E582887" w14:textId="45EE2362" w:rsidR="00CE1E83" w:rsidRPr="004F67C8" w:rsidRDefault="00CE1E83" w:rsidP="00CE1E83">
            <w:pPr>
              <w:pStyle w:val="BodyTextIndent"/>
              <w:ind w:right="-48"/>
              <w:jc w:val="right"/>
              <w:rPr>
                <w:rFonts w:ascii="Effra Corp" w:hAnsi="Effra Corp"/>
                <w:color w:val="000000"/>
                <w:sz w:val="20"/>
                <w:szCs w:val="20"/>
                <w:u w:val="none"/>
                <w:lang w:val="en-GB"/>
              </w:rPr>
            </w:pPr>
            <w:r w:rsidRPr="004F67C8">
              <w:rPr>
                <w:rFonts w:ascii="Effra Corp" w:eastAsia="Effra Corp" w:hAnsi="Effra Corp" w:cs="Effra Corp"/>
                <w:color w:val="000000"/>
                <w:sz w:val="20"/>
                <w:szCs w:val="20"/>
                <w:u w:val="none"/>
                <w:lang w:val="el-GR" w:bidi="el-GR"/>
              </w:rPr>
              <w:t>Οικονομικά αποτελέσματα πρώτου εξαμήνου 2022</w:t>
            </w:r>
          </w:p>
        </w:tc>
      </w:tr>
    </w:tbl>
    <w:p w14:paraId="4D4D3525" w14:textId="77777777" w:rsidR="00CE1E83" w:rsidRPr="004F67C8" w:rsidRDefault="00CE1E83" w:rsidP="00CE1E83">
      <w:pPr>
        <w:pStyle w:val="BodyTextIndent"/>
        <w:ind w:left="709" w:right="-48" w:hanging="709"/>
        <w:rPr>
          <w:rFonts w:ascii="Effra Corp" w:hAnsi="Effra Corp"/>
          <w:color w:val="000000"/>
          <w:sz w:val="20"/>
          <w:szCs w:val="20"/>
          <w:u w:val="none"/>
          <w:lang w:val="en-GB"/>
        </w:rPr>
      </w:pPr>
    </w:p>
    <w:bookmarkEnd w:id="3"/>
    <w:p w14:paraId="648AB5BB" w14:textId="77777777" w:rsidR="00CE1E83" w:rsidRPr="004F67C8" w:rsidRDefault="00CE1E83" w:rsidP="00CE1E83">
      <w:pPr>
        <w:jc w:val="both"/>
        <w:rPr>
          <w:rFonts w:ascii="Effra Corp" w:hAnsi="Effra Corp" w:cs="Arial"/>
          <w:b/>
          <w:sz w:val="20"/>
          <w:szCs w:val="20"/>
          <w:lang w:val="en-GB"/>
        </w:rPr>
      </w:pPr>
      <w:r w:rsidRPr="004F67C8">
        <w:rPr>
          <w:rFonts w:ascii="Effra Corp" w:eastAsia="Effra Corp" w:hAnsi="Effra Corp" w:cs="Arial"/>
          <w:b/>
          <w:sz w:val="20"/>
          <w:szCs w:val="20"/>
          <w:lang w:val="el-GR" w:bidi="el-GR"/>
        </w:rPr>
        <w:t>Πληροφόρηση επενδυτών</w:t>
      </w:r>
    </w:p>
    <w:p w14:paraId="386AC2CB" w14:textId="77777777" w:rsidR="00CE1E83" w:rsidRPr="004F67C8" w:rsidRDefault="00CE1E83" w:rsidP="00CE1E83">
      <w:pPr>
        <w:rPr>
          <w:rFonts w:ascii="Effra Corp" w:hAnsi="Effra Corp" w:cs="Arial"/>
          <w:b/>
          <w:color w:val="000000"/>
          <w:sz w:val="20"/>
          <w:szCs w:val="20"/>
          <w:lang w:val="en-GB"/>
        </w:rPr>
      </w:pPr>
      <w:r w:rsidRPr="004F67C8">
        <w:rPr>
          <w:rFonts w:ascii="Effra Corp" w:eastAsia="Effra Corp" w:hAnsi="Effra Corp" w:cs="Arial"/>
          <w:b/>
          <w:color w:val="000000"/>
          <w:sz w:val="20"/>
          <w:szCs w:val="20"/>
          <w:lang w:val="el-GR" w:bidi="el-GR"/>
        </w:rPr>
        <w:t>Όμιλος Coca-Cola HBC</w:t>
      </w:r>
    </w:p>
    <w:tbl>
      <w:tblPr>
        <w:tblW w:w="9619" w:type="dxa"/>
        <w:tblLook w:val="04A0" w:firstRow="1" w:lastRow="0" w:firstColumn="1" w:lastColumn="0" w:noHBand="0" w:noVBand="1"/>
      </w:tblPr>
      <w:tblGrid>
        <w:gridCol w:w="4531"/>
        <w:gridCol w:w="5088"/>
      </w:tblGrid>
      <w:tr w:rsidR="00CE1E83" w:rsidRPr="004F67C8" w14:paraId="4A7A94CB" w14:textId="77777777" w:rsidTr="00500565">
        <w:trPr>
          <w:trHeight w:val="230"/>
        </w:trPr>
        <w:tc>
          <w:tcPr>
            <w:tcW w:w="4531" w:type="dxa"/>
            <w:hideMark/>
          </w:tcPr>
          <w:p w14:paraId="72BFAE59" w14:textId="77777777" w:rsidR="00CE1E83" w:rsidRPr="004F67C8" w:rsidRDefault="00CE1E83" w:rsidP="00500565">
            <w:pPr>
              <w:ind w:left="-110"/>
              <w:rPr>
                <w:rFonts w:ascii="Effra Corp" w:hAnsi="Effra Corp" w:cs="Arial"/>
                <w:color w:val="000000"/>
                <w:sz w:val="20"/>
                <w:szCs w:val="20"/>
                <w:u w:val="single"/>
                <w:lang w:val="en-GB"/>
              </w:rPr>
            </w:pPr>
            <w:r w:rsidRPr="004F67C8">
              <w:rPr>
                <w:rFonts w:ascii="Effra Corp" w:eastAsia="Effra Corp" w:hAnsi="Effra Corp" w:cs="Arial"/>
                <w:color w:val="000000"/>
                <w:sz w:val="20"/>
                <w:szCs w:val="20"/>
                <w:u w:val="single"/>
                <w:lang w:val="el-GR" w:bidi="el-GR"/>
              </w:rPr>
              <w:t>Επενδυτές και αναλυτές:</w:t>
            </w:r>
          </w:p>
        </w:tc>
        <w:tc>
          <w:tcPr>
            <w:tcW w:w="5088" w:type="dxa"/>
          </w:tcPr>
          <w:p w14:paraId="3E908CE9" w14:textId="77777777" w:rsidR="00CE1E83" w:rsidRPr="004F67C8" w:rsidRDefault="00CE1E83" w:rsidP="00500565">
            <w:pPr>
              <w:rPr>
                <w:rFonts w:ascii="Effra Corp" w:hAnsi="Effra Corp" w:cs="Arial"/>
                <w:color w:val="000000"/>
                <w:sz w:val="20"/>
                <w:szCs w:val="20"/>
                <w:lang w:val="en-GB"/>
              </w:rPr>
            </w:pPr>
          </w:p>
        </w:tc>
      </w:tr>
      <w:tr w:rsidR="00CE1E83" w:rsidRPr="00F25059" w14:paraId="50B4D265" w14:textId="77777777" w:rsidTr="00500565">
        <w:trPr>
          <w:trHeight w:val="451"/>
        </w:trPr>
        <w:tc>
          <w:tcPr>
            <w:tcW w:w="4531" w:type="dxa"/>
            <w:hideMark/>
          </w:tcPr>
          <w:p w14:paraId="5BAB1AE4" w14:textId="77777777" w:rsidR="00CE1E83" w:rsidRPr="004F67C8" w:rsidRDefault="00CE1E83" w:rsidP="00500565">
            <w:pPr>
              <w:ind w:left="-110"/>
              <w:rPr>
                <w:rFonts w:ascii="Effra Corp" w:hAnsi="Effra Corp" w:cs="Arial"/>
                <w:color w:val="000000"/>
                <w:sz w:val="20"/>
                <w:szCs w:val="20"/>
                <w:lang w:val="en-GB"/>
              </w:rPr>
            </w:pPr>
            <w:r w:rsidRPr="004F67C8">
              <w:rPr>
                <w:rFonts w:ascii="Effra Corp" w:eastAsia="Effra Corp" w:hAnsi="Effra Corp" w:cs="Arial"/>
                <w:color w:val="000000"/>
                <w:sz w:val="20"/>
                <w:szCs w:val="20"/>
                <w:lang w:val="en-US" w:bidi="el-GR"/>
              </w:rPr>
              <w:t>Joanna Kennedy</w:t>
            </w:r>
          </w:p>
          <w:p w14:paraId="4E33934A" w14:textId="77777777" w:rsidR="00CE1E83" w:rsidRPr="004F67C8" w:rsidRDefault="00CE1E83" w:rsidP="00500565">
            <w:pPr>
              <w:ind w:left="-110"/>
              <w:rPr>
                <w:rFonts w:ascii="Effra Corp" w:hAnsi="Effra Corp" w:cs="Arial"/>
                <w:color w:val="000000"/>
                <w:sz w:val="20"/>
                <w:szCs w:val="20"/>
                <w:lang w:val="en-GB"/>
              </w:rPr>
            </w:pPr>
            <w:r w:rsidRPr="004F67C8">
              <w:rPr>
                <w:rFonts w:ascii="Effra Corp" w:eastAsia="Effra Corp" w:hAnsi="Effra Corp" w:cs="Arial"/>
                <w:color w:val="000000"/>
                <w:sz w:val="20"/>
                <w:szCs w:val="20"/>
                <w:lang w:val="en-US" w:bidi="el-GR"/>
              </w:rPr>
              <w:t>Investor Relations Director</w:t>
            </w:r>
          </w:p>
        </w:tc>
        <w:tc>
          <w:tcPr>
            <w:tcW w:w="5088" w:type="dxa"/>
            <w:hideMark/>
          </w:tcPr>
          <w:p w14:paraId="2BA65E64" w14:textId="77777777" w:rsidR="00CE1E83" w:rsidRPr="004F67C8" w:rsidRDefault="00CE1E83" w:rsidP="00500565">
            <w:pPr>
              <w:jc w:val="right"/>
              <w:rPr>
                <w:rFonts w:ascii="Effra Corp" w:hAnsi="Effra Corp" w:cs="Arial"/>
                <w:color w:val="000000"/>
                <w:sz w:val="20"/>
                <w:szCs w:val="20"/>
                <w:lang w:val="el-GR"/>
              </w:rPr>
            </w:pPr>
            <w:proofErr w:type="spellStart"/>
            <w:r w:rsidRPr="004F67C8">
              <w:rPr>
                <w:rFonts w:ascii="Effra Corp" w:eastAsia="Effra Corp" w:hAnsi="Effra Corp" w:cs="Arial"/>
                <w:color w:val="000000"/>
                <w:sz w:val="20"/>
                <w:szCs w:val="20"/>
                <w:lang w:val="el-GR" w:bidi="el-GR"/>
              </w:rPr>
              <w:t>Τηλ</w:t>
            </w:r>
            <w:proofErr w:type="spellEnd"/>
            <w:r w:rsidRPr="004F67C8">
              <w:rPr>
                <w:rFonts w:ascii="Effra Corp" w:eastAsia="Effra Corp" w:hAnsi="Effra Corp" w:cs="Arial"/>
                <w:color w:val="000000"/>
                <w:sz w:val="20"/>
                <w:szCs w:val="20"/>
                <w:lang w:val="el-GR" w:bidi="el-GR"/>
              </w:rPr>
              <w:t>.: +44 7802 427505</w:t>
            </w:r>
          </w:p>
          <w:p w14:paraId="287FFA5F" w14:textId="77777777" w:rsidR="00CE1E83" w:rsidRPr="004F67C8" w:rsidRDefault="00CE1E83" w:rsidP="00500565">
            <w:pPr>
              <w:jc w:val="right"/>
              <w:rPr>
                <w:rFonts w:ascii="Effra Corp" w:hAnsi="Effra Corp" w:cs="Arial"/>
                <w:color w:val="000000"/>
                <w:sz w:val="20"/>
                <w:szCs w:val="20"/>
                <w:lang w:val="el-GR"/>
              </w:rPr>
            </w:pPr>
            <w:r w:rsidRPr="004F67C8">
              <w:rPr>
                <w:rFonts w:ascii="Effra Corp" w:eastAsia="Effra Corp" w:hAnsi="Effra Corp" w:cs="Arial"/>
                <w:color w:val="000000"/>
                <w:sz w:val="20"/>
                <w:szCs w:val="20"/>
                <w:lang w:val="el-GR" w:bidi="el-GR"/>
              </w:rPr>
              <w:t> joanna.kennedy@cchellenic.com</w:t>
            </w:r>
          </w:p>
        </w:tc>
      </w:tr>
      <w:tr w:rsidR="00CE1E83" w:rsidRPr="00F25059" w14:paraId="331249F3" w14:textId="77777777" w:rsidTr="00500565">
        <w:trPr>
          <w:trHeight w:val="104"/>
        </w:trPr>
        <w:tc>
          <w:tcPr>
            <w:tcW w:w="4531" w:type="dxa"/>
          </w:tcPr>
          <w:p w14:paraId="43F85C42" w14:textId="77777777" w:rsidR="00CE1E83" w:rsidRPr="004F67C8" w:rsidRDefault="00CE1E83" w:rsidP="00500565">
            <w:pPr>
              <w:ind w:left="-110"/>
              <w:rPr>
                <w:rFonts w:ascii="Effra Corp" w:hAnsi="Effra Corp" w:cs="Arial"/>
                <w:color w:val="000000"/>
                <w:sz w:val="20"/>
                <w:szCs w:val="20"/>
                <w:lang w:val="el-GR"/>
              </w:rPr>
            </w:pPr>
          </w:p>
        </w:tc>
        <w:tc>
          <w:tcPr>
            <w:tcW w:w="5088" w:type="dxa"/>
          </w:tcPr>
          <w:p w14:paraId="29F83B93" w14:textId="77777777" w:rsidR="00CE1E83" w:rsidRPr="004F67C8" w:rsidRDefault="00CE1E83" w:rsidP="00500565">
            <w:pPr>
              <w:jc w:val="right"/>
              <w:rPr>
                <w:rFonts w:ascii="Effra Corp" w:hAnsi="Effra Corp" w:cs="Arial"/>
                <w:color w:val="000000"/>
                <w:sz w:val="20"/>
                <w:szCs w:val="20"/>
                <w:lang w:val="el-GR"/>
              </w:rPr>
            </w:pPr>
          </w:p>
        </w:tc>
      </w:tr>
      <w:tr w:rsidR="00CE1E83" w:rsidRPr="00F25059" w14:paraId="1ED3D244" w14:textId="77777777" w:rsidTr="00500565">
        <w:trPr>
          <w:trHeight w:val="451"/>
        </w:trPr>
        <w:tc>
          <w:tcPr>
            <w:tcW w:w="4531" w:type="dxa"/>
            <w:hideMark/>
          </w:tcPr>
          <w:p w14:paraId="5FABB70F" w14:textId="77777777" w:rsidR="00CE1E83" w:rsidRPr="004F67C8" w:rsidRDefault="00CE1E83" w:rsidP="00500565">
            <w:pPr>
              <w:ind w:left="-110"/>
              <w:rPr>
                <w:rFonts w:ascii="Effra Corp" w:hAnsi="Effra Corp" w:cs="Arial"/>
                <w:color w:val="000000"/>
                <w:sz w:val="20"/>
                <w:szCs w:val="20"/>
                <w:lang w:val="en-GB"/>
              </w:rPr>
            </w:pPr>
            <w:r w:rsidRPr="004F67C8">
              <w:rPr>
                <w:rFonts w:ascii="Effra Corp" w:eastAsia="Effra Corp" w:hAnsi="Effra Corp" w:cs="Arial"/>
                <w:color w:val="000000"/>
                <w:sz w:val="20"/>
                <w:szCs w:val="20"/>
                <w:lang w:val="en-US" w:bidi="el-GR"/>
              </w:rPr>
              <w:t>Jemima Benstead</w:t>
            </w:r>
          </w:p>
          <w:p w14:paraId="599A94BD" w14:textId="77777777" w:rsidR="00CE1E83" w:rsidRPr="004F67C8" w:rsidRDefault="00CE1E83" w:rsidP="00500565">
            <w:pPr>
              <w:ind w:left="-110"/>
              <w:rPr>
                <w:rFonts w:ascii="Effra Corp" w:hAnsi="Effra Corp" w:cs="Arial"/>
                <w:color w:val="000000"/>
                <w:sz w:val="20"/>
                <w:szCs w:val="20"/>
                <w:lang w:val="en-GB"/>
              </w:rPr>
            </w:pPr>
            <w:r w:rsidRPr="004F67C8">
              <w:rPr>
                <w:rFonts w:ascii="Effra Corp" w:eastAsia="Effra Corp" w:hAnsi="Effra Corp" w:cs="Arial"/>
                <w:color w:val="000000"/>
                <w:sz w:val="20"/>
                <w:szCs w:val="20"/>
                <w:lang w:val="en-US" w:bidi="el-GR"/>
              </w:rPr>
              <w:t>Investor Relations Manager</w:t>
            </w:r>
          </w:p>
        </w:tc>
        <w:tc>
          <w:tcPr>
            <w:tcW w:w="5088" w:type="dxa"/>
            <w:hideMark/>
          </w:tcPr>
          <w:p w14:paraId="1A48EBC8" w14:textId="77777777" w:rsidR="00CE1E83" w:rsidRPr="004F67C8" w:rsidRDefault="00CE1E83" w:rsidP="00500565">
            <w:pPr>
              <w:jc w:val="right"/>
              <w:rPr>
                <w:rFonts w:ascii="Effra Corp" w:hAnsi="Effra Corp" w:cs="Arial"/>
                <w:color w:val="000000"/>
                <w:sz w:val="20"/>
                <w:szCs w:val="20"/>
                <w:lang w:val="el-GR"/>
              </w:rPr>
            </w:pPr>
            <w:proofErr w:type="spellStart"/>
            <w:r w:rsidRPr="004F67C8">
              <w:rPr>
                <w:rFonts w:ascii="Effra Corp" w:eastAsia="Effra Corp" w:hAnsi="Effra Corp" w:cs="Arial"/>
                <w:color w:val="000000"/>
                <w:sz w:val="20"/>
                <w:szCs w:val="20"/>
                <w:lang w:val="el-GR" w:bidi="el-GR"/>
              </w:rPr>
              <w:t>Τηλ</w:t>
            </w:r>
            <w:proofErr w:type="spellEnd"/>
            <w:r w:rsidRPr="004F67C8">
              <w:rPr>
                <w:rFonts w:ascii="Effra Corp" w:eastAsia="Effra Corp" w:hAnsi="Effra Corp" w:cs="Arial"/>
                <w:color w:val="000000"/>
                <w:sz w:val="20"/>
                <w:szCs w:val="20"/>
                <w:lang w:val="el-GR" w:bidi="el-GR"/>
              </w:rPr>
              <w:t>: +</w:t>
            </w:r>
            <w:r w:rsidRPr="004F67C8">
              <w:rPr>
                <w:rFonts w:ascii="Effra Corp" w:eastAsia="Effra Corp" w:hAnsi="Effra Corp" w:cstheme="minorHAnsi"/>
                <w:color w:val="212721"/>
                <w:sz w:val="20"/>
                <w:szCs w:val="20"/>
                <w:lang w:val="el-GR" w:bidi="el-GR"/>
              </w:rPr>
              <w:t>44 7740 535130</w:t>
            </w:r>
          </w:p>
          <w:p w14:paraId="7A8A1851" w14:textId="77777777" w:rsidR="00CE1E83" w:rsidRPr="004F67C8" w:rsidRDefault="00CE1E83" w:rsidP="00500565">
            <w:pPr>
              <w:jc w:val="right"/>
              <w:rPr>
                <w:rFonts w:ascii="Effra Corp" w:hAnsi="Effra Corp" w:cs="Arial"/>
                <w:color w:val="000000"/>
                <w:sz w:val="20"/>
                <w:szCs w:val="20"/>
                <w:lang w:val="el-GR"/>
              </w:rPr>
            </w:pPr>
            <w:r w:rsidRPr="004F67C8">
              <w:rPr>
                <w:rFonts w:ascii="Effra Corp" w:eastAsia="Effra Corp" w:hAnsi="Effra Corp" w:cs="Arial"/>
                <w:color w:val="000000"/>
                <w:sz w:val="20"/>
                <w:szCs w:val="20"/>
                <w:lang w:val="el-GR" w:bidi="el-GR"/>
              </w:rPr>
              <w:t>jemima.benstead@cchellenic.com</w:t>
            </w:r>
          </w:p>
        </w:tc>
      </w:tr>
      <w:tr w:rsidR="00CE1E83" w:rsidRPr="00F25059" w14:paraId="45E2F82E" w14:textId="77777777" w:rsidTr="00500565">
        <w:trPr>
          <w:trHeight w:val="83"/>
        </w:trPr>
        <w:tc>
          <w:tcPr>
            <w:tcW w:w="4531" w:type="dxa"/>
          </w:tcPr>
          <w:p w14:paraId="3F36317A" w14:textId="77777777" w:rsidR="00CE1E83" w:rsidRPr="004F67C8" w:rsidRDefault="00CE1E83" w:rsidP="00500565">
            <w:pPr>
              <w:ind w:left="-110"/>
              <w:rPr>
                <w:rFonts w:ascii="Effra Corp" w:hAnsi="Effra Corp" w:cs="Arial"/>
                <w:color w:val="000000"/>
                <w:sz w:val="20"/>
                <w:szCs w:val="20"/>
                <w:lang w:val="el-GR"/>
              </w:rPr>
            </w:pPr>
          </w:p>
        </w:tc>
        <w:tc>
          <w:tcPr>
            <w:tcW w:w="5088" w:type="dxa"/>
          </w:tcPr>
          <w:p w14:paraId="1D14E6B2" w14:textId="77777777" w:rsidR="00CE1E83" w:rsidRPr="004F67C8" w:rsidRDefault="00CE1E83" w:rsidP="00500565">
            <w:pPr>
              <w:jc w:val="right"/>
              <w:rPr>
                <w:rFonts w:ascii="Effra Corp" w:hAnsi="Effra Corp" w:cs="Arial"/>
                <w:color w:val="000000"/>
                <w:sz w:val="20"/>
                <w:szCs w:val="20"/>
                <w:lang w:val="el-GR"/>
              </w:rPr>
            </w:pPr>
          </w:p>
        </w:tc>
      </w:tr>
      <w:tr w:rsidR="00CE1E83" w:rsidRPr="00F25059" w14:paraId="1D53E1CC" w14:textId="77777777" w:rsidTr="00500565">
        <w:trPr>
          <w:trHeight w:val="472"/>
        </w:trPr>
        <w:tc>
          <w:tcPr>
            <w:tcW w:w="4531" w:type="dxa"/>
            <w:hideMark/>
          </w:tcPr>
          <w:p w14:paraId="2F57DB6C" w14:textId="77777777" w:rsidR="00CE1E83" w:rsidRPr="004F67C8" w:rsidRDefault="00CE1E83" w:rsidP="00500565">
            <w:pPr>
              <w:ind w:left="-110"/>
              <w:rPr>
                <w:rFonts w:ascii="Effra Corp" w:hAnsi="Effra Corp" w:cs="Arial"/>
                <w:color w:val="000000"/>
                <w:sz w:val="20"/>
                <w:szCs w:val="20"/>
                <w:lang w:val="en-GB"/>
              </w:rPr>
            </w:pPr>
            <w:r w:rsidRPr="004F67C8">
              <w:rPr>
                <w:rFonts w:ascii="Effra Corp" w:eastAsia="Effra Corp" w:hAnsi="Effra Corp" w:cs="Arial"/>
                <w:color w:val="000000"/>
                <w:sz w:val="20"/>
                <w:szCs w:val="20"/>
                <w:lang w:val="en-US" w:bidi="el-GR"/>
              </w:rPr>
              <w:t>Marios Matar</w:t>
            </w:r>
          </w:p>
          <w:p w14:paraId="5889887D" w14:textId="77777777" w:rsidR="00CE1E83" w:rsidRPr="004F67C8" w:rsidRDefault="00CE1E83" w:rsidP="00500565">
            <w:pPr>
              <w:ind w:left="-110"/>
              <w:rPr>
                <w:rFonts w:ascii="Effra Corp" w:hAnsi="Effra Corp" w:cs="Arial"/>
                <w:color w:val="000000"/>
                <w:sz w:val="20"/>
                <w:szCs w:val="20"/>
                <w:lang w:val="en-GB"/>
              </w:rPr>
            </w:pPr>
            <w:r w:rsidRPr="004F67C8">
              <w:rPr>
                <w:rFonts w:ascii="Effra Corp" w:eastAsia="Effra Corp" w:hAnsi="Effra Corp" w:cs="Arial"/>
                <w:color w:val="000000"/>
                <w:sz w:val="20"/>
                <w:szCs w:val="20"/>
                <w:lang w:val="en-US" w:bidi="el-GR"/>
              </w:rPr>
              <w:t>Investor Relations Manager</w:t>
            </w:r>
          </w:p>
        </w:tc>
        <w:tc>
          <w:tcPr>
            <w:tcW w:w="5088" w:type="dxa"/>
            <w:hideMark/>
          </w:tcPr>
          <w:p w14:paraId="2F45FD7A" w14:textId="77777777" w:rsidR="00CE1E83" w:rsidRPr="004F67C8" w:rsidRDefault="00CE1E83" w:rsidP="00500565">
            <w:pPr>
              <w:spacing w:line="252" w:lineRule="auto"/>
              <w:ind w:hanging="114"/>
              <w:jc w:val="right"/>
              <w:rPr>
                <w:rFonts w:ascii="Effra Corp" w:hAnsi="Effra Corp"/>
                <w:color w:val="000000"/>
                <w:sz w:val="20"/>
                <w:szCs w:val="20"/>
                <w:lang w:val="el-GR"/>
              </w:rPr>
            </w:pPr>
            <w:proofErr w:type="spellStart"/>
            <w:r w:rsidRPr="004F67C8">
              <w:rPr>
                <w:rFonts w:ascii="Effra Corp" w:eastAsia="Effra Corp" w:hAnsi="Effra Corp" w:cs="Effra Corp"/>
                <w:color w:val="000000"/>
                <w:sz w:val="20"/>
                <w:szCs w:val="20"/>
                <w:lang w:val="el-GR" w:bidi="el-GR"/>
              </w:rPr>
              <w:t>Τηλ</w:t>
            </w:r>
            <w:proofErr w:type="spellEnd"/>
            <w:r w:rsidRPr="004F67C8">
              <w:rPr>
                <w:rFonts w:ascii="Effra Corp" w:eastAsia="Effra Corp" w:hAnsi="Effra Corp" w:cs="Effra Corp"/>
                <w:color w:val="000000"/>
                <w:sz w:val="20"/>
                <w:szCs w:val="20"/>
                <w:lang w:val="el-GR" w:bidi="el-GR"/>
              </w:rPr>
              <w:t>.: +30 697 444 3335</w:t>
            </w:r>
          </w:p>
          <w:p w14:paraId="2B19F189" w14:textId="77777777" w:rsidR="00CE1E83" w:rsidRPr="004F67C8" w:rsidRDefault="00CE1E83" w:rsidP="00500565">
            <w:pPr>
              <w:jc w:val="right"/>
              <w:rPr>
                <w:rFonts w:ascii="Effra Corp" w:hAnsi="Effra Corp" w:cs="Arial"/>
                <w:color w:val="000000"/>
                <w:sz w:val="20"/>
                <w:szCs w:val="20"/>
                <w:lang w:val="el-GR"/>
              </w:rPr>
            </w:pPr>
            <w:r w:rsidRPr="004F67C8">
              <w:rPr>
                <w:rFonts w:ascii="Effra Corp" w:eastAsia="Effra Corp" w:hAnsi="Effra Corp" w:cs="Effra Corp"/>
                <w:sz w:val="20"/>
                <w:szCs w:val="20"/>
                <w:lang w:val="el-GR" w:bidi="el-GR"/>
              </w:rPr>
              <w:t>marios.matar@cchellenic.com</w:t>
            </w:r>
          </w:p>
        </w:tc>
      </w:tr>
      <w:tr w:rsidR="00CE1E83" w:rsidRPr="00F25059" w14:paraId="41D531F9" w14:textId="77777777" w:rsidTr="00500565">
        <w:trPr>
          <w:trHeight w:val="73"/>
        </w:trPr>
        <w:tc>
          <w:tcPr>
            <w:tcW w:w="4531" w:type="dxa"/>
          </w:tcPr>
          <w:p w14:paraId="360A1E76" w14:textId="77777777" w:rsidR="00CE1E83" w:rsidRPr="004F67C8" w:rsidRDefault="00CE1E83" w:rsidP="00500565">
            <w:pPr>
              <w:ind w:left="-110"/>
              <w:rPr>
                <w:rFonts w:ascii="Effra Corp" w:hAnsi="Effra Corp" w:cs="Arial"/>
                <w:color w:val="000000"/>
                <w:sz w:val="20"/>
                <w:szCs w:val="20"/>
                <w:lang w:val="el-GR"/>
              </w:rPr>
            </w:pPr>
          </w:p>
        </w:tc>
        <w:tc>
          <w:tcPr>
            <w:tcW w:w="5088" w:type="dxa"/>
          </w:tcPr>
          <w:p w14:paraId="3D3F560E" w14:textId="77777777" w:rsidR="00CE1E83" w:rsidRPr="004F67C8" w:rsidRDefault="00CE1E83" w:rsidP="00500565">
            <w:pPr>
              <w:jc w:val="right"/>
              <w:rPr>
                <w:rFonts w:ascii="Effra Corp" w:hAnsi="Effra Corp" w:cs="Arial"/>
                <w:color w:val="000000"/>
                <w:sz w:val="20"/>
                <w:szCs w:val="20"/>
                <w:lang w:val="el-GR"/>
              </w:rPr>
            </w:pPr>
          </w:p>
        </w:tc>
      </w:tr>
      <w:tr w:rsidR="00CE1E83" w:rsidRPr="004F67C8" w14:paraId="4B13BB11" w14:textId="77777777" w:rsidTr="00500565">
        <w:trPr>
          <w:trHeight w:val="230"/>
        </w:trPr>
        <w:tc>
          <w:tcPr>
            <w:tcW w:w="4531" w:type="dxa"/>
            <w:hideMark/>
          </w:tcPr>
          <w:p w14:paraId="2AEB03F6" w14:textId="77777777" w:rsidR="00CE1E83" w:rsidRPr="004F67C8" w:rsidRDefault="00CE1E83" w:rsidP="00500565">
            <w:pPr>
              <w:ind w:left="-110"/>
              <w:rPr>
                <w:rFonts w:ascii="Effra Corp" w:hAnsi="Effra Corp" w:cs="Arial"/>
                <w:color w:val="000000"/>
                <w:sz w:val="20"/>
                <w:szCs w:val="20"/>
                <w:u w:val="single"/>
                <w:lang w:val="en-GB"/>
              </w:rPr>
            </w:pPr>
            <w:r w:rsidRPr="004F67C8">
              <w:rPr>
                <w:rFonts w:ascii="Effra Corp" w:eastAsia="Effra Corp" w:hAnsi="Effra Corp" w:cs="Arial"/>
                <w:color w:val="000000"/>
                <w:sz w:val="20"/>
                <w:szCs w:val="20"/>
                <w:u w:val="single"/>
                <w:lang w:val="el-GR" w:bidi="el-GR"/>
              </w:rPr>
              <w:t xml:space="preserve">ΜΜΕ: </w:t>
            </w:r>
          </w:p>
        </w:tc>
        <w:tc>
          <w:tcPr>
            <w:tcW w:w="5088" w:type="dxa"/>
          </w:tcPr>
          <w:p w14:paraId="1503BA6E" w14:textId="77777777" w:rsidR="00CE1E83" w:rsidRPr="004F67C8" w:rsidRDefault="00CE1E83" w:rsidP="00500565">
            <w:pPr>
              <w:rPr>
                <w:rFonts w:ascii="Effra Corp" w:hAnsi="Effra Corp" w:cs="Arial"/>
                <w:color w:val="000000"/>
                <w:sz w:val="20"/>
                <w:szCs w:val="20"/>
                <w:u w:val="single"/>
                <w:lang w:val="en-GB"/>
              </w:rPr>
            </w:pPr>
          </w:p>
        </w:tc>
      </w:tr>
      <w:tr w:rsidR="00CE1E83" w:rsidRPr="00F25059" w14:paraId="40E012A5" w14:textId="77777777" w:rsidTr="00500565">
        <w:trPr>
          <w:trHeight w:val="451"/>
        </w:trPr>
        <w:tc>
          <w:tcPr>
            <w:tcW w:w="4531" w:type="dxa"/>
            <w:hideMark/>
          </w:tcPr>
          <w:p w14:paraId="4EFC625A" w14:textId="77777777" w:rsidR="00CE1E83" w:rsidRPr="004F67C8" w:rsidRDefault="00CE1E83" w:rsidP="00500565">
            <w:pPr>
              <w:ind w:left="-110"/>
              <w:rPr>
                <w:rFonts w:ascii="Effra Corp" w:hAnsi="Effra Corp" w:cs="Arial"/>
                <w:color w:val="000000"/>
                <w:sz w:val="20"/>
                <w:szCs w:val="20"/>
                <w:lang w:val="en-GB"/>
              </w:rPr>
            </w:pPr>
            <w:r w:rsidRPr="004F67C8">
              <w:rPr>
                <w:rFonts w:ascii="Effra Corp" w:eastAsia="Effra Corp" w:hAnsi="Effra Corp" w:cs="Arial"/>
                <w:color w:val="000000"/>
                <w:sz w:val="20"/>
                <w:szCs w:val="20"/>
                <w:lang w:val="en-US" w:bidi="el-GR"/>
              </w:rPr>
              <w:t>David Hart</w:t>
            </w:r>
          </w:p>
          <w:p w14:paraId="4355F51B" w14:textId="77777777" w:rsidR="00CE1E83" w:rsidRPr="004F67C8" w:rsidRDefault="00CE1E83" w:rsidP="00500565">
            <w:pPr>
              <w:ind w:left="-110"/>
              <w:rPr>
                <w:rFonts w:ascii="Effra Corp" w:hAnsi="Effra Corp" w:cs="Arial"/>
                <w:color w:val="000000"/>
                <w:sz w:val="20"/>
                <w:szCs w:val="20"/>
                <w:lang w:val="en-GB"/>
              </w:rPr>
            </w:pPr>
            <w:r w:rsidRPr="004F67C8">
              <w:rPr>
                <w:rFonts w:ascii="Effra Corp" w:eastAsia="Effra Corp" w:hAnsi="Effra Corp" w:cs="Arial"/>
                <w:color w:val="000000"/>
                <w:sz w:val="20"/>
                <w:szCs w:val="20"/>
                <w:lang w:val="en-US" w:bidi="el-GR"/>
              </w:rPr>
              <w:t>Group Communication Director</w:t>
            </w:r>
          </w:p>
        </w:tc>
        <w:tc>
          <w:tcPr>
            <w:tcW w:w="5088" w:type="dxa"/>
            <w:hideMark/>
          </w:tcPr>
          <w:p w14:paraId="53A8E18D" w14:textId="77777777" w:rsidR="00CE1E83" w:rsidRPr="004F67C8" w:rsidRDefault="00CE1E83" w:rsidP="00500565">
            <w:pPr>
              <w:jc w:val="right"/>
              <w:rPr>
                <w:rFonts w:ascii="Effra Corp" w:hAnsi="Effra Corp" w:cs="Arial"/>
                <w:color w:val="000000"/>
                <w:sz w:val="20"/>
                <w:szCs w:val="20"/>
                <w:lang w:val="el-GR"/>
              </w:rPr>
            </w:pPr>
            <w:proofErr w:type="spellStart"/>
            <w:r w:rsidRPr="004F67C8">
              <w:rPr>
                <w:rFonts w:ascii="Effra Corp" w:eastAsia="Effra Corp" w:hAnsi="Effra Corp" w:cs="Arial"/>
                <w:color w:val="000000"/>
                <w:sz w:val="20"/>
                <w:szCs w:val="20"/>
                <w:lang w:val="el-GR" w:bidi="el-GR"/>
              </w:rPr>
              <w:t>Τηλ</w:t>
            </w:r>
            <w:proofErr w:type="spellEnd"/>
            <w:r w:rsidRPr="004F67C8">
              <w:rPr>
                <w:rFonts w:ascii="Effra Corp" w:eastAsia="Effra Corp" w:hAnsi="Effra Corp" w:cs="Arial"/>
                <w:color w:val="000000"/>
                <w:sz w:val="20"/>
                <w:szCs w:val="20"/>
                <w:lang w:val="el-GR" w:bidi="el-GR"/>
              </w:rPr>
              <w:t>: +41 41 726 0143</w:t>
            </w:r>
          </w:p>
          <w:p w14:paraId="10E1C8C6" w14:textId="77777777" w:rsidR="00CE1E83" w:rsidRPr="004F67C8" w:rsidRDefault="00CE1E83" w:rsidP="00500565">
            <w:pPr>
              <w:jc w:val="right"/>
              <w:rPr>
                <w:rFonts w:ascii="Effra Corp" w:hAnsi="Effra Corp" w:cs="Arial"/>
                <w:color w:val="000000"/>
                <w:sz w:val="20"/>
                <w:szCs w:val="20"/>
                <w:lang w:val="el-GR"/>
              </w:rPr>
            </w:pPr>
            <w:r w:rsidRPr="004F67C8">
              <w:rPr>
                <w:rFonts w:ascii="Effra Corp" w:eastAsia="Effra Corp" w:hAnsi="Effra Corp" w:cs="Arial"/>
                <w:color w:val="000000"/>
                <w:sz w:val="20"/>
                <w:szCs w:val="20"/>
                <w:lang w:val="el-GR" w:bidi="el-GR"/>
              </w:rPr>
              <w:t> david.hart@cchellenic.com</w:t>
            </w:r>
          </w:p>
        </w:tc>
      </w:tr>
      <w:tr w:rsidR="00CE1E83" w:rsidRPr="004F67C8" w14:paraId="2C6CEAA5" w14:textId="77777777" w:rsidTr="00500565">
        <w:trPr>
          <w:trHeight w:val="451"/>
        </w:trPr>
        <w:tc>
          <w:tcPr>
            <w:tcW w:w="4531" w:type="dxa"/>
            <w:vAlign w:val="bottom"/>
          </w:tcPr>
          <w:p w14:paraId="6F381F0D" w14:textId="77777777" w:rsidR="00CE1E83" w:rsidRPr="004F67C8" w:rsidRDefault="00CE1E83" w:rsidP="00500565">
            <w:pPr>
              <w:ind w:left="-110"/>
              <w:rPr>
                <w:rFonts w:ascii="Effra Corp" w:hAnsi="Effra Corp" w:cs="Arial"/>
                <w:color w:val="000000"/>
                <w:sz w:val="20"/>
                <w:szCs w:val="20"/>
                <w:u w:val="single"/>
                <w:lang w:val="el-GR"/>
              </w:rPr>
            </w:pPr>
          </w:p>
          <w:p w14:paraId="570C3121" w14:textId="77777777" w:rsidR="00CE1E83" w:rsidRPr="004F67C8" w:rsidRDefault="00CE1E83" w:rsidP="00500565">
            <w:pPr>
              <w:ind w:left="-110"/>
              <w:rPr>
                <w:rFonts w:ascii="Effra Corp" w:hAnsi="Effra Corp" w:cs="Arial"/>
                <w:color w:val="000000"/>
                <w:sz w:val="20"/>
                <w:szCs w:val="20"/>
                <w:u w:val="single"/>
                <w:lang w:val="el-GR"/>
              </w:rPr>
            </w:pPr>
            <w:r w:rsidRPr="004F67C8">
              <w:rPr>
                <w:rFonts w:ascii="Effra Corp" w:eastAsia="Effra Corp" w:hAnsi="Effra Corp" w:cs="Arial"/>
                <w:color w:val="000000"/>
                <w:sz w:val="20"/>
                <w:szCs w:val="20"/>
                <w:u w:val="single"/>
                <w:lang w:val="el-GR" w:bidi="el-GR"/>
              </w:rPr>
              <w:t>Υπεύθυνος επικοινωνίας για ελληνικά ΜΜΕ:</w:t>
            </w:r>
          </w:p>
          <w:p w14:paraId="09C59F20" w14:textId="77777777" w:rsidR="00CE1E83" w:rsidRPr="00AE7FD1" w:rsidRDefault="00CE1E83" w:rsidP="00500565">
            <w:pPr>
              <w:ind w:left="-110"/>
              <w:rPr>
                <w:rFonts w:ascii="Effra Corp" w:hAnsi="Effra Corp" w:cs="Arial"/>
                <w:b/>
                <w:bCs/>
                <w:color w:val="000000"/>
                <w:sz w:val="20"/>
                <w:szCs w:val="20"/>
                <w:lang w:val="fr-FR"/>
              </w:rPr>
            </w:pPr>
            <w:r w:rsidRPr="00AE7FD1">
              <w:rPr>
                <w:rFonts w:ascii="Effra Corp" w:eastAsia="Effra Corp" w:hAnsi="Effra Corp" w:cs="Arial"/>
                <w:b/>
                <w:color w:val="000000"/>
                <w:sz w:val="20"/>
                <w:szCs w:val="20"/>
                <w:lang w:val="fr-FR" w:bidi="el-GR"/>
              </w:rPr>
              <w:t>V+O Communications</w:t>
            </w:r>
          </w:p>
          <w:p w14:paraId="7D7643D2" w14:textId="77777777" w:rsidR="00CE1E83" w:rsidRPr="00AE7FD1" w:rsidRDefault="00CE1E83" w:rsidP="00500565">
            <w:pPr>
              <w:ind w:left="-110"/>
              <w:rPr>
                <w:rFonts w:ascii="Effra Corp" w:hAnsi="Effra Corp" w:cs="Arial"/>
                <w:color w:val="000000"/>
                <w:sz w:val="20"/>
                <w:szCs w:val="20"/>
                <w:lang w:val="fr-FR"/>
              </w:rPr>
            </w:pPr>
            <w:r w:rsidRPr="004F67C8">
              <w:rPr>
                <w:rFonts w:ascii="Effra Corp" w:eastAsia="Effra Corp" w:hAnsi="Effra Corp" w:cs="Arial"/>
                <w:color w:val="000000"/>
                <w:sz w:val="20"/>
                <w:szCs w:val="20"/>
                <w:lang w:val="el-GR" w:bidi="el-GR"/>
              </w:rPr>
              <w:t>Χαρά</w:t>
            </w:r>
            <w:r w:rsidRPr="00AE7FD1">
              <w:rPr>
                <w:rFonts w:ascii="Effra Corp" w:eastAsia="Effra Corp" w:hAnsi="Effra Corp" w:cs="Arial"/>
                <w:color w:val="000000"/>
                <w:sz w:val="20"/>
                <w:szCs w:val="20"/>
                <w:lang w:val="fr-FR" w:bidi="el-GR"/>
              </w:rPr>
              <w:t xml:space="preserve"> </w:t>
            </w:r>
            <w:r w:rsidRPr="004F67C8">
              <w:rPr>
                <w:rFonts w:ascii="Effra Corp" w:eastAsia="Effra Corp" w:hAnsi="Effra Corp" w:cs="Arial"/>
                <w:color w:val="000000"/>
                <w:sz w:val="20"/>
                <w:szCs w:val="20"/>
                <w:lang w:val="el-GR" w:bidi="el-GR"/>
              </w:rPr>
              <w:t>Γιώτη</w:t>
            </w:r>
          </w:p>
        </w:tc>
        <w:tc>
          <w:tcPr>
            <w:tcW w:w="5088" w:type="dxa"/>
            <w:vAlign w:val="bottom"/>
          </w:tcPr>
          <w:p w14:paraId="3D14CE25" w14:textId="77777777" w:rsidR="00CE1E83" w:rsidRPr="004F67C8" w:rsidRDefault="00CE1E83" w:rsidP="00500565">
            <w:pPr>
              <w:jc w:val="right"/>
              <w:rPr>
                <w:rFonts w:ascii="Effra Corp" w:hAnsi="Effra Corp" w:cs="Arial"/>
                <w:color w:val="000000"/>
                <w:sz w:val="20"/>
                <w:szCs w:val="20"/>
                <w:lang w:val="en-GB"/>
              </w:rPr>
            </w:pPr>
            <w:proofErr w:type="spellStart"/>
            <w:r w:rsidRPr="004F67C8">
              <w:rPr>
                <w:rFonts w:ascii="Effra Corp" w:eastAsia="Effra Corp" w:hAnsi="Effra Corp" w:cs="Arial"/>
                <w:color w:val="000000"/>
                <w:sz w:val="20"/>
                <w:szCs w:val="20"/>
                <w:lang w:val="el-GR" w:bidi="el-GR"/>
              </w:rPr>
              <w:t>Τηλ</w:t>
            </w:r>
            <w:proofErr w:type="spellEnd"/>
            <w:r w:rsidRPr="004F67C8">
              <w:rPr>
                <w:rFonts w:ascii="Effra Corp" w:eastAsia="Effra Corp" w:hAnsi="Effra Corp" w:cs="Arial"/>
                <w:color w:val="000000"/>
                <w:sz w:val="20"/>
                <w:szCs w:val="20"/>
                <w:lang w:val="el-GR" w:bidi="el-GR"/>
              </w:rPr>
              <w:t>: +30 6936750476</w:t>
            </w:r>
          </w:p>
          <w:p w14:paraId="623528D9" w14:textId="77777777" w:rsidR="00CE1E83" w:rsidRPr="004F67C8" w:rsidRDefault="00CE1E83" w:rsidP="00500565">
            <w:pPr>
              <w:jc w:val="right"/>
              <w:rPr>
                <w:rFonts w:ascii="Effra Corp" w:hAnsi="Effra Corp" w:cs="Arial"/>
                <w:color w:val="000000"/>
                <w:sz w:val="20"/>
                <w:szCs w:val="20"/>
                <w:lang w:val="en-GB"/>
              </w:rPr>
            </w:pPr>
            <w:r w:rsidRPr="004F67C8">
              <w:rPr>
                <w:rFonts w:ascii="Effra Corp" w:eastAsia="Effra Corp" w:hAnsi="Effra Corp" w:cs="Arial"/>
                <w:color w:val="000000"/>
                <w:sz w:val="20"/>
                <w:szCs w:val="20"/>
                <w:lang w:val="el-GR" w:bidi="el-GR"/>
              </w:rPr>
              <w:t>cy@vando.gr</w:t>
            </w:r>
          </w:p>
        </w:tc>
      </w:tr>
      <w:tr w:rsidR="00CE1E83" w:rsidRPr="004F67C8" w14:paraId="2C4D8455" w14:textId="77777777" w:rsidTr="00500565">
        <w:trPr>
          <w:trHeight w:val="451"/>
        </w:trPr>
        <w:tc>
          <w:tcPr>
            <w:tcW w:w="4531" w:type="dxa"/>
            <w:vAlign w:val="bottom"/>
          </w:tcPr>
          <w:p w14:paraId="3BCB0E18" w14:textId="77777777" w:rsidR="00CE1E83" w:rsidRPr="004F67C8" w:rsidRDefault="00CE1E83" w:rsidP="00500565">
            <w:pPr>
              <w:ind w:left="-110"/>
              <w:rPr>
                <w:rFonts w:ascii="Effra Corp" w:hAnsi="Effra Corp" w:cs="Arial"/>
                <w:color w:val="000000"/>
                <w:sz w:val="20"/>
                <w:szCs w:val="20"/>
                <w:u w:val="single"/>
                <w:lang w:val="en-GB"/>
              </w:rPr>
            </w:pPr>
          </w:p>
        </w:tc>
        <w:tc>
          <w:tcPr>
            <w:tcW w:w="5088" w:type="dxa"/>
            <w:vAlign w:val="bottom"/>
          </w:tcPr>
          <w:p w14:paraId="77E877EC" w14:textId="77777777" w:rsidR="00CE1E83" w:rsidRPr="004F67C8" w:rsidRDefault="00CE1E83" w:rsidP="00500565">
            <w:pPr>
              <w:jc w:val="right"/>
              <w:rPr>
                <w:rFonts w:ascii="Effra Corp" w:hAnsi="Effra Corp" w:cs="Arial"/>
                <w:color w:val="000000"/>
                <w:sz w:val="20"/>
                <w:szCs w:val="20"/>
                <w:lang w:val="en-GB"/>
              </w:rPr>
            </w:pPr>
          </w:p>
        </w:tc>
      </w:tr>
    </w:tbl>
    <w:bookmarkEnd w:id="1"/>
    <w:p w14:paraId="4F0BF49C" w14:textId="77777777" w:rsidR="007056C1" w:rsidRPr="004F67C8" w:rsidRDefault="006E0ADB" w:rsidP="006C5CF8">
      <w:pPr>
        <w:pStyle w:val="BodyText3"/>
        <w:shd w:val="clear" w:color="auto" w:fill="BFBFBF" w:themeFill="background1" w:themeFillShade="BF"/>
        <w:spacing w:before="120" w:after="120"/>
        <w:ind w:right="-79"/>
        <w:rPr>
          <w:rFonts w:ascii="Effra Corp" w:hAnsi="Effra Corp" w:cs="Arial"/>
          <w:b/>
          <w:bCs/>
          <w:spacing w:val="-2"/>
          <w:sz w:val="20"/>
          <w:szCs w:val="20"/>
          <w:lang w:val="el-GR"/>
        </w:rPr>
      </w:pPr>
      <w:r w:rsidRPr="004F67C8">
        <w:rPr>
          <w:rFonts w:ascii="Effra Corp" w:eastAsia="Effra Corp" w:hAnsi="Effra Corp" w:cs="Arial"/>
          <w:b/>
          <w:spacing w:val="-2"/>
          <w:sz w:val="20"/>
          <w:szCs w:val="20"/>
          <w:lang w:val="el-GR" w:bidi="el-GR"/>
        </w:rPr>
        <w:t>Σημείωση για τις πληροφορίες που παρουσιάζονται στο παρόν</w:t>
      </w:r>
    </w:p>
    <w:p w14:paraId="49EFFC4B" w14:textId="508D6BE6" w:rsidR="001B0CC7" w:rsidRPr="004F67C8" w:rsidRDefault="00907494" w:rsidP="00907494">
      <w:pPr>
        <w:autoSpaceDE w:val="0"/>
        <w:autoSpaceDN w:val="0"/>
        <w:adjustRightInd w:val="0"/>
        <w:spacing w:after="120"/>
        <w:jc w:val="both"/>
        <w:rPr>
          <w:rFonts w:ascii="Effra Corp" w:hAnsi="Effra Corp" w:cs="Arial"/>
          <w:bCs/>
          <w:spacing w:val="-2"/>
          <w:sz w:val="20"/>
          <w:szCs w:val="20"/>
          <w:lang w:val="el-GR"/>
        </w:rPr>
      </w:pPr>
      <w:r w:rsidRPr="004F67C8">
        <w:rPr>
          <w:rFonts w:ascii="Effra Corp" w:eastAsia="Effra Corp" w:hAnsi="Effra Corp" w:cs="Arial"/>
          <w:spacing w:val="-2"/>
          <w:sz w:val="20"/>
          <w:szCs w:val="20"/>
          <w:lang w:val="el-GR" w:bidi="el-GR"/>
        </w:rPr>
        <w:t>Εκτός εάν αναφέρεται διαφορετικά, η παρούσα συνοπτική ενημέρωση, καθώς και τα οικονομικά και λειτουργικά στοιχεία και οι λοιπές πληροφορίες που περιέχονται στο κείμενο, αφορούν την Coca-Cola HBC AG και τις θυγατρικές της («Coca-Cola HBC» ή η «Εταιρεία» ή «εμείς» ή ο «Όμιλος»).</w:t>
      </w:r>
      <w:r w:rsidR="001B0CC7" w:rsidRPr="004F67C8">
        <w:rPr>
          <w:rFonts w:ascii="Effra Corp" w:eastAsia="Effra Corp" w:hAnsi="Effra Corp" w:cs="Arial"/>
          <w:spacing w:val="-2"/>
          <w:sz w:val="20"/>
          <w:szCs w:val="20"/>
          <w:lang w:val="el-GR" w:bidi="el-GR"/>
        </w:rPr>
        <w:br w:type="page"/>
      </w:r>
    </w:p>
    <w:p w14:paraId="16AEA03E" w14:textId="77777777" w:rsidR="00BE4743" w:rsidRPr="004F67C8" w:rsidRDefault="00BE4743" w:rsidP="00A81316">
      <w:pPr>
        <w:pStyle w:val="BodyText3"/>
        <w:shd w:val="clear" w:color="auto" w:fill="BFBFBF" w:themeFill="background1" w:themeFillShade="BF"/>
        <w:spacing w:after="120"/>
        <w:ind w:right="-77"/>
        <w:rPr>
          <w:rFonts w:ascii="Effra Corp" w:hAnsi="Effra Corp" w:cs="Arial"/>
          <w:b/>
          <w:bCs/>
          <w:spacing w:val="-2"/>
          <w:sz w:val="20"/>
          <w:szCs w:val="20"/>
          <w:lang w:val="el-GR"/>
        </w:rPr>
      </w:pPr>
      <w:r w:rsidRPr="004F67C8">
        <w:rPr>
          <w:rFonts w:ascii="Effra Corp" w:eastAsia="Effra Corp" w:hAnsi="Effra Corp" w:cs="Arial"/>
          <w:b/>
          <w:spacing w:val="-2"/>
          <w:sz w:val="20"/>
          <w:szCs w:val="20"/>
          <w:lang w:val="el-GR" w:bidi="el-GR"/>
        </w:rPr>
        <w:lastRenderedPageBreak/>
        <w:t>Μελλοντικές δηλώσεις</w:t>
      </w:r>
    </w:p>
    <w:p w14:paraId="44461994" w14:textId="0151143D" w:rsidR="009A0398" w:rsidRPr="004F67C8" w:rsidRDefault="00907494" w:rsidP="008D4A6A">
      <w:pPr>
        <w:autoSpaceDE w:val="0"/>
        <w:autoSpaceDN w:val="0"/>
        <w:adjustRightInd w:val="0"/>
        <w:spacing w:after="120"/>
        <w:jc w:val="both"/>
        <w:rPr>
          <w:rFonts w:ascii="Effra Corp" w:hAnsi="Effra Corp" w:cs="Arial"/>
          <w:bCs/>
          <w:spacing w:val="-2"/>
          <w:sz w:val="20"/>
          <w:szCs w:val="20"/>
          <w:lang w:val="el-GR"/>
        </w:rPr>
      </w:pPr>
      <w:r w:rsidRPr="004F67C8">
        <w:rPr>
          <w:rFonts w:ascii="Effra Corp" w:eastAsia="Effra Corp" w:hAnsi="Effra Corp" w:cs="Arial"/>
          <w:spacing w:val="-2"/>
          <w:sz w:val="20"/>
          <w:szCs w:val="20"/>
          <w:lang w:val="el-GR" w:bidi="el-GR"/>
        </w:rPr>
        <w:t>Το παρόν έγγραφο περιέχει δηλώσεις που αφορούν το μέλλον και συνεπάγονται κινδύνους και αβεβαιότητες. Κατά κανόνα, αλλά όχι πάντοτε, οι δηλώσεις αυτού του είδους περιέχουν ενδεικτικά τις λέξεις «πιστεύουμε», «προοπτική», «κατευθυντήριες γραμμές», «σκοπεύουμε», «αναμένουμε», «προβλέπουμε», «σχεδιάζουμε», «στοχεύουμε» και άλλες παρόμοιες διατυπώσεις που αφορούν το μέλλον. Εκτός από τις δηλώσεις που αφορούν γεγονότα του παρελθόντος, όλες οι υπόλοιπες, όπως μεταξύ άλλων, οι δηλώσεις για τη μελλοντική οικονομική θέση και τα αποτελέσματά μας, την προοπτική μας για το 2022 και τα επόμενα χρόνια, την επιχειρηματική μας στρατηγική και τα αποτελέσματα της επιβράδυνσης του ρυθμού της παγκόσμιας οικονομικής ανάπτυξης, τον αντίκτυπο της κρίσης κρατικού χρέους, τις μεταβολές νομισματικών ισοτιμιών, τις πρόσφατες εξαγορές μας και τις πρωτοβουλίες αναδιάρθρωσης στις επιχειρηματικές μας δραστηριότητες και την οικονομική μας κατάσταση, τις μελλοντικές συναλλαγές μας με την εταιρεία The Coca-Cola </w:t>
      </w:r>
      <w:proofErr w:type="spellStart"/>
      <w:r w:rsidRPr="004F67C8">
        <w:rPr>
          <w:rFonts w:ascii="Effra Corp" w:eastAsia="Effra Corp" w:hAnsi="Effra Corp" w:cs="Arial"/>
          <w:spacing w:val="-2"/>
          <w:sz w:val="20"/>
          <w:szCs w:val="20"/>
          <w:lang w:val="el-GR" w:bidi="el-GR"/>
        </w:rPr>
        <w:t>Company</w:t>
      </w:r>
      <w:proofErr w:type="spellEnd"/>
      <w:r w:rsidRPr="004F67C8">
        <w:rPr>
          <w:rFonts w:ascii="Effra Corp" w:eastAsia="Effra Corp" w:hAnsi="Effra Corp" w:cs="Arial"/>
          <w:spacing w:val="-2"/>
          <w:sz w:val="20"/>
          <w:szCs w:val="20"/>
          <w:lang w:val="el-GR" w:bidi="el-GR"/>
        </w:rPr>
        <w:t>, τους προϋπολογισμούς, τα προβλεπόμενα επίπεδα κατανάλωσης και παραγωγής, τις προβλέψεις για το κόστος πρώτων υλών και τα άλλα στοιχεία κόστους, τις εκτιμήσεις κεφαλαιουχικών δαπανών, καθαρών ταμειακών ροών ή πραγματικών φορολογικών συντελεστών, τα σχέδια και τους στόχους της διοίκησης της Εταιρείας σε σχέση με μελλοντικές δράσεις, αποτελούν αναφορές στο μέλλον. Εκ φύσεως, τέτοιες δηλώσεις που αφορούν το μέλλον ενέχουν κινδύνους και αβεβαιότητες, εφόσον αντανακλούν τις σημερινές μας εκτιμήσεις και προσδοκίες για μελλοντικά γεγονότα και περιστάσεις που μπορεί να αποδειχθούν ανακριβείς. Τα πραγματικά αποτελέσματα της Εταιρείας ενδέχεται να διαφέρουν σε ουσιώδη βαθμό από τα εικαζόμενα αποτελέσματα που περιέχονται στις δηλώσεις για το μέλλον, για διάφορους λόγους, όπως είναι, μεταξύ άλλων, οι κίνδυνοι που περιγράψαμε στην Ετήσια Ενοποιημένη Έκθεση (</w:t>
      </w:r>
      <w:proofErr w:type="spellStart"/>
      <w:r w:rsidRPr="004F67C8">
        <w:rPr>
          <w:rFonts w:ascii="Effra Corp" w:eastAsia="Effra Corp" w:hAnsi="Effra Corp" w:cs="Arial"/>
          <w:spacing w:val="-2"/>
          <w:sz w:val="20"/>
          <w:szCs w:val="20"/>
          <w:lang w:val="el-GR" w:bidi="el-GR"/>
        </w:rPr>
        <w:t>Integrated</w:t>
      </w:r>
      <w:proofErr w:type="spellEnd"/>
      <w:r w:rsidRPr="004F67C8">
        <w:rPr>
          <w:rFonts w:ascii="Effra Corp" w:eastAsia="Effra Corp" w:hAnsi="Effra Corp" w:cs="Arial"/>
          <w:spacing w:val="-2"/>
          <w:sz w:val="20"/>
          <w:szCs w:val="20"/>
          <w:lang w:val="el-GR" w:bidi="el-GR"/>
        </w:rPr>
        <w:t> </w:t>
      </w:r>
      <w:proofErr w:type="spellStart"/>
      <w:r w:rsidRPr="004F67C8">
        <w:rPr>
          <w:rFonts w:ascii="Effra Corp" w:eastAsia="Effra Corp" w:hAnsi="Effra Corp" w:cs="Arial"/>
          <w:spacing w:val="-2"/>
          <w:sz w:val="20"/>
          <w:szCs w:val="20"/>
          <w:lang w:val="el-GR" w:bidi="el-GR"/>
        </w:rPr>
        <w:t>Annual</w:t>
      </w:r>
      <w:proofErr w:type="spellEnd"/>
      <w:r w:rsidRPr="004F67C8">
        <w:rPr>
          <w:rFonts w:ascii="Effra Corp" w:eastAsia="Effra Corp" w:hAnsi="Effra Corp" w:cs="Arial"/>
          <w:spacing w:val="-2"/>
          <w:sz w:val="20"/>
          <w:szCs w:val="20"/>
          <w:lang w:val="el-GR" w:bidi="el-GR"/>
        </w:rPr>
        <w:t> </w:t>
      </w:r>
      <w:proofErr w:type="spellStart"/>
      <w:r w:rsidRPr="004F67C8">
        <w:rPr>
          <w:rFonts w:ascii="Effra Corp" w:eastAsia="Effra Corp" w:hAnsi="Effra Corp" w:cs="Arial"/>
          <w:spacing w:val="-2"/>
          <w:sz w:val="20"/>
          <w:szCs w:val="20"/>
          <w:lang w:val="el-GR" w:bidi="el-GR"/>
        </w:rPr>
        <w:t>Report</w:t>
      </w:r>
      <w:proofErr w:type="spellEnd"/>
      <w:r w:rsidRPr="004F67C8">
        <w:rPr>
          <w:rFonts w:ascii="Effra Corp" w:eastAsia="Effra Corp" w:hAnsi="Effra Corp" w:cs="Arial"/>
          <w:spacing w:val="-2"/>
          <w:sz w:val="20"/>
          <w:szCs w:val="20"/>
          <w:lang w:val="el-GR" w:bidi="el-GR"/>
        </w:rPr>
        <w:t xml:space="preserve">) του 2021 για την Coca-Cola HBC AG και τις θυγατρικές εταιρείες της. Αν και πιστεύουμε ότι κατά την ημερομηνία σύνταξης του παρόντος, οι προσδοκίες που αντικατοπτρίζονται στις εν λόγω δηλώσεις για το μέλλον είναι εύλογες, δεν μπορούμε να σας διαβεβαιώσουμε ότι τα μελλοντικά μας αποτελέσματα, το επίπεδο επιχειρηματικής δραστηριότητας, οι επιδόσεις ή τα επιτεύγματά μας θα ικανοποιήσουν αυτές τις προσδοκίες. Επιπλέον, κανένας από εμάς, τα μέλη του Διοικητικού Συμβουλίου, τους υπαλλήλους, τους συμβούλους ή οποιοδήποτε άλλο πρόσωπο δεν αναλαμβάνει την ευθύνη για την ακρίβεια και την πληρότητα δηλώσεων που αφορούν το μέλλον. Μετά την ημερομηνία της παρούσας περιληπτικής ενημέρωσης, εκτός εάν είμαστε υποχρεωμένοι από τον νόμο ή τους κανόνες της </w:t>
      </w:r>
      <w:proofErr w:type="spellStart"/>
      <w:r w:rsidRPr="004F67C8">
        <w:rPr>
          <w:rFonts w:ascii="Effra Corp" w:eastAsia="Effra Corp" w:hAnsi="Effra Corp" w:cs="Arial"/>
          <w:spacing w:val="-2"/>
          <w:sz w:val="20"/>
          <w:szCs w:val="20"/>
          <w:lang w:val="el-GR" w:bidi="el-GR"/>
        </w:rPr>
        <w:t>Financial</w:t>
      </w:r>
      <w:proofErr w:type="spellEnd"/>
      <w:r w:rsidRPr="004F67C8">
        <w:rPr>
          <w:rFonts w:ascii="Effra Corp" w:eastAsia="Effra Corp" w:hAnsi="Effra Corp" w:cs="Arial"/>
          <w:spacing w:val="-2"/>
          <w:sz w:val="20"/>
          <w:szCs w:val="20"/>
          <w:lang w:val="el-GR" w:bidi="el-GR"/>
        </w:rPr>
        <w:t xml:space="preserve"> </w:t>
      </w:r>
      <w:proofErr w:type="spellStart"/>
      <w:r w:rsidRPr="004F67C8">
        <w:rPr>
          <w:rFonts w:ascii="Effra Corp" w:eastAsia="Effra Corp" w:hAnsi="Effra Corp" w:cs="Arial"/>
          <w:spacing w:val="-2"/>
          <w:sz w:val="20"/>
          <w:szCs w:val="20"/>
          <w:lang w:val="el-GR" w:bidi="el-GR"/>
        </w:rPr>
        <w:t>Conduct</w:t>
      </w:r>
      <w:proofErr w:type="spellEnd"/>
      <w:r w:rsidRPr="004F67C8">
        <w:rPr>
          <w:rFonts w:ascii="Effra Corp" w:eastAsia="Effra Corp" w:hAnsi="Effra Corp" w:cs="Arial"/>
          <w:spacing w:val="-2"/>
          <w:sz w:val="20"/>
          <w:szCs w:val="20"/>
          <w:lang w:val="el-GR" w:bidi="el-GR"/>
        </w:rPr>
        <w:t xml:space="preserve"> Authority του Ηνωμένου Βασιλείου, δεν σκοπεύουμε απαραιτήτως να προσαρμόσουμε οποιαδήποτε από τις δηλώσεις που αφορούν το μέλλον για να τις εναρμονίσουμε είτε σε σχέση με τα πραγματικά αποτελέσματα είτε σε σχέση με την όποια μεταβολή των προσδοκιών μας.</w:t>
      </w:r>
    </w:p>
    <w:p w14:paraId="50501F4D" w14:textId="77777777" w:rsidR="009A0398" w:rsidRPr="004F67C8" w:rsidRDefault="009A0398" w:rsidP="00A81316">
      <w:pPr>
        <w:pStyle w:val="BodyText3"/>
        <w:shd w:val="clear" w:color="auto" w:fill="BFBFBF" w:themeFill="background1" w:themeFillShade="BF"/>
        <w:spacing w:after="120"/>
        <w:ind w:right="-77"/>
        <w:rPr>
          <w:rFonts w:ascii="Effra Corp" w:hAnsi="Effra Corp" w:cs="Arial"/>
          <w:b/>
          <w:bCs/>
          <w:iCs/>
          <w:sz w:val="20"/>
          <w:szCs w:val="20"/>
          <w:lang w:val="el-GR"/>
        </w:rPr>
      </w:pPr>
      <w:r w:rsidRPr="004F67C8">
        <w:rPr>
          <w:rFonts w:ascii="Effra Corp" w:eastAsia="Effra Corp" w:hAnsi="Effra Corp" w:cs="Arial"/>
          <w:b/>
          <w:sz w:val="20"/>
          <w:szCs w:val="20"/>
          <w:lang w:val="el-GR" w:bidi="el-GR"/>
        </w:rPr>
        <w:t xml:space="preserve">Εναλλακτικά </w:t>
      </w:r>
      <w:r w:rsidRPr="004F67C8">
        <w:rPr>
          <w:rFonts w:ascii="Effra Corp" w:eastAsia="Effra Corp" w:hAnsi="Effra Corp" w:cs="Arial"/>
          <w:b/>
          <w:spacing w:val="-2"/>
          <w:sz w:val="20"/>
          <w:szCs w:val="20"/>
          <w:lang w:val="el-GR" w:bidi="el-GR"/>
        </w:rPr>
        <w:t xml:space="preserve">μεγέθη μέτρησης απόδοσης </w:t>
      </w:r>
    </w:p>
    <w:p w14:paraId="74DFE25E" w14:textId="77777777" w:rsidR="00907494" w:rsidRPr="004F67C8" w:rsidRDefault="00907494" w:rsidP="00907494">
      <w:pPr>
        <w:autoSpaceDE w:val="0"/>
        <w:autoSpaceDN w:val="0"/>
        <w:adjustRightInd w:val="0"/>
        <w:spacing w:after="120"/>
        <w:jc w:val="both"/>
        <w:rPr>
          <w:rFonts w:ascii="Effra Corp" w:hAnsi="Effra Corp" w:cs="Arial"/>
          <w:bCs/>
          <w:spacing w:val="-2"/>
          <w:sz w:val="20"/>
          <w:szCs w:val="20"/>
          <w:lang w:val="el-GR"/>
        </w:rPr>
      </w:pPr>
      <w:r w:rsidRPr="004F67C8">
        <w:rPr>
          <w:rFonts w:ascii="Effra Corp" w:eastAsia="Effra Corp" w:hAnsi="Effra Corp" w:cs="Arial"/>
          <w:spacing w:val="-2"/>
          <w:sz w:val="20"/>
          <w:szCs w:val="20"/>
          <w:lang w:val="el-GR" w:bidi="el-GR"/>
        </w:rPr>
        <w:t xml:space="preserve">Ο Όμιλος χρησιμοποιεί συγκεκριμένους εναλλακτικούς δείκτες μέτρησης απόδοσης («ΕΔΜΑ») ως γνώμονα για τη λήψη οικονομικών και επιχειρηματικών αποφάσεων, αποφάσεων σχεδιασμού, καθώς και για λόγους αξιολόγησης και αναφοράς των επιδόσεων του Ομίλου. Μέσω των ΕΔΜΑ παρέχεται πρόσθετη πληροφόρηση και σχηματίζεται σαφέστερη εικόνα για τα λειτουργικά και οικονομικά αποτελέσματα του Ομίλου. Οι ΕΔΜΑ πρέπει να εξετάζονται σε σχέση με και όχι κατ’ αποκλεισμό των αντίστοιχων στοιχείων που παρουσιάζονται σύμφωνα με τα Διεθνή Πρότυπα Χρηματοοικονομικής Αναφοράς («ΔΠΧΑ»).  </w:t>
      </w:r>
    </w:p>
    <w:p w14:paraId="4BFC1ED1" w14:textId="41A6C1E9" w:rsidR="00907494" w:rsidRPr="004F67C8" w:rsidRDefault="00907494" w:rsidP="00907494">
      <w:pPr>
        <w:autoSpaceDE w:val="0"/>
        <w:autoSpaceDN w:val="0"/>
        <w:adjustRightInd w:val="0"/>
        <w:spacing w:after="120"/>
        <w:jc w:val="both"/>
        <w:rPr>
          <w:rFonts w:ascii="Effra Corp" w:hAnsi="Effra Corp" w:cs="Arial"/>
          <w:bCs/>
          <w:spacing w:val="-2"/>
          <w:sz w:val="20"/>
          <w:szCs w:val="20"/>
          <w:lang w:val="el-GR"/>
        </w:rPr>
      </w:pPr>
      <w:r w:rsidRPr="004F67C8">
        <w:rPr>
          <w:rFonts w:ascii="Effra Corp" w:eastAsia="Effra Corp" w:hAnsi="Effra Corp" w:cs="Arial"/>
          <w:spacing w:val="-2"/>
          <w:sz w:val="20"/>
          <w:szCs w:val="20"/>
          <w:lang w:val="el-GR" w:bidi="el-GR"/>
        </w:rPr>
        <w:t xml:space="preserve">Από την 1η Ιανουαρίου 2022, ο Όμιλος </w:t>
      </w:r>
      <w:r w:rsidR="009B1C0F">
        <w:rPr>
          <w:rFonts w:ascii="Effra Corp" w:eastAsia="Effra Corp" w:hAnsi="Effra Corp" w:cs="Arial"/>
          <w:spacing w:val="-2"/>
          <w:sz w:val="20"/>
          <w:szCs w:val="20"/>
          <w:lang w:val="el-GR" w:bidi="el-GR"/>
        </w:rPr>
        <w:t>υιοθέτησε τη χρήση</w:t>
      </w:r>
      <w:r w:rsidR="009B1C0F" w:rsidRPr="004F67C8">
        <w:rPr>
          <w:rFonts w:ascii="Effra Corp" w:eastAsia="Effra Corp" w:hAnsi="Effra Corp" w:cs="Arial"/>
          <w:spacing w:val="-2"/>
          <w:sz w:val="20"/>
          <w:szCs w:val="20"/>
          <w:lang w:val="el-GR" w:bidi="el-GR"/>
        </w:rPr>
        <w:t xml:space="preserve"> </w:t>
      </w:r>
      <w:r w:rsidRPr="004F67C8">
        <w:rPr>
          <w:rFonts w:ascii="Effra Corp" w:eastAsia="Effra Corp" w:hAnsi="Effra Corp" w:cs="Arial"/>
          <w:spacing w:val="-2"/>
          <w:sz w:val="20"/>
          <w:szCs w:val="20"/>
          <w:lang w:val="el-GR" w:bidi="el-GR"/>
        </w:rPr>
        <w:t xml:space="preserve">ΕΔΜΑ </w:t>
      </w:r>
      <w:r w:rsidR="000B283B">
        <w:rPr>
          <w:rFonts w:ascii="Effra Corp" w:eastAsia="Effra Corp" w:hAnsi="Effra Corp" w:cs="Arial"/>
          <w:spacing w:val="-2"/>
          <w:sz w:val="20"/>
          <w:szCs w:val="20"/>
          <w:lang w:val="el-GR" w:bidi="el-GR"/>
        </w:rPr>
        <w:t>σε οργανική βάση</w:t>
      </w:r>
      <w:r w:rsidR="009B1C0F">
        <w:rPr>
          <w:rFonts w:ascii="Effra Corp" w:eastAsia="Effra Corp" w:hAnsi="Effra Corp" w:cs="Arial"/>
          <w:spacing w:val="-2"/>
          <w:sz w:val="20"/>
          <w:szCs w:val="20"/>
          <w:lang w:val="el-GR" w:bidi="el-GR"/>
        </w:rPr>
        <w:t>, προκειμένου να ενισχύσει</w:t>
      </w:r>
      <w:r w:rsidRPr="004F67C8">
        <w:rPr>
          <w:rFonts w:ascii="Effra Corp" w:eastAsia="Effra Corp" w:hAnsi="Effra Corp" w:cs="Arial"/>
          <w:spacing w:val="-2"/>
          <w:sz w:val="20"/>
          <w:szCs w:val="20"/>
          <w:lang w:val="el-GR" w:bidi="el-GR"/>
        </w:rPr>
        <w:t xml:space="preserve"> την καλύτερη κατανόηση των υποκείμενων επιχειρηματικών επιδόσεων, </w:t>
      </w:r>
      <w:r w:rsidR="00934942">
        <w:rPr>
          <w:rFonts w:ascii="Effra Corp" w:eastAsia="Effra Corp" w:hAnsi="Effra Corp" w:cs="Arial"/>
          <w:spacing w:val="-2"/>
          <w:sz w:val="20"/>
          <w:szCs w:val="20"/>
          <w:lang w:val="el-GR" w:bidi="el-GR"/>
        </w:rPr>
        <w:t xml:space="preserve">προσεγγίζοντας </w:t>
      </w:r>
      <w:r w:rsidR="009B1C0F">
        <w:rPr>
          <w:rFonts w:ascii="Effra Corp" w:eastAsia="Effra Corp" w:hAnsi="Effra Corp" w:cs="Arial"/>
          <w:spacing w:val="-2"/>
          <w:sz w:val="20"/>
          <w:szCs w:val="20"/>
          <w:lang w:val="el-GR" w:bidi="el-GR"/>
        </w:rPr>
        <w:t xml:space="preserve">παράλληλα </w:t>
      </w:r>
      <w:r w:rsidR="00B12791">
        <w:rPr>
          <w:rFonts w:ascii="Effra Corp" w:eastAsia="Effra Corp" w:hAnsi="Effra Corp" w:cs="Arial"/>
          <w:spacing w:val="-2"/>
          <w:sz w:val="20"/>
          <w:szCs w:val="20"/>
          <w:lang w:val="el-GR" w:bidi="el-GR"/>
        </w:rPr>
        <w:t>περισσότερο</w:t>
      </w:r>
      <w:r w:rsidRPr="004F67C8">
        <w:rPr>
          <w:rFonts w:ascii="Effra Corp" w:eastAsia="Effra Corp" w:hAnsi="Effra Corp" w:cs="Arial"/>
          <w:spacing w:val="-2"/>
          <w:sz w:val="20"/>
          <w:szCs w:val="20"/>
          <w:lang w:val="el-GR" w:bidi="el-GR"/>
        </w:rPr>
        <w:t xml:space="preserve"> τη μεθοδολογία </w:t>
      </w:r>
      <w:r w:rsidRPr="00BE7272">
        <w:rPr>
          <w:rFonts w:ascii="Effra Corp" w:eastAsia="Effra Corp" w:hAnsi="Effra Corp" w:cs="Arial"/>
          <w:spacing w:val="-2"/>
          <w:sz w:val="20"/>
          <w:szCs w:val="20"/>
          <w:lang w:val="el-GR" w:bidi="el-GR"/>
        </w:rPr>
        <w:t xml:space="preserve">αναφοράς που τηρούν οι άλλες εταιρείες του </w:t>
      </w:r>
      <w:r w:rsidR="00BE7272" w:rsidRPr="00BE7272">
        <w:rPr>
          <w:rFonts w:ascii="Effra Corp" w:eastAsia="Effra Corp" w:hAnsi="Effra Corp" w:cs="Arial"/>
          <w:spacing w:val="-2"/>
          <w:sz w:val="20"/>
          <w:szCs w:val="20"/>
          <w:lang w:val="el-GR" w:bidi="el-GR"/>
        </w:rPr>
        <w:t>κλάδου</w:t>
      </w:r>
      <w:r w:rsidRPr="00BE7272">
        <w:rPr>
          <w:rFonts w:ascii="Effra Corp" w:eastAsia="Effra Corp" w:hAnsi="Effra Corp" w:cs="Arial"/>
          <w:spacing w:val="-2"/>
          <w:sz w:val="20"/>
          <w:szCs w:val="20"/>
          <w:lang w:val="el-GR" w:bidi="el-GR"/>
        </w:rPr>
        <w:t>.</w:t>
      </w:r>
    </w:p>
    <w:p w14:paraId="6A6555A2" w14:textId="77777777" w:rsidR="009A0398" w:rsidRPr="004F67C8" w:rsidRDefault="009A0398" w:rsidP="00B44B71">
      <w:pPr>
        <w:pStyle w:val="BodyText3"/>
        <w:shd w:val="clear" w:color="auto" w:fill="BFBFBF" w:themeFill="background1" w:themeFillShade="BF"/>
        <w:spacing w:after="120"/>
        <w:ind w:right="-77"/>
        <w:rPr>
          <w:rFonts w:ascii="Effra Corp" w:hAnsi="Effra Corp" w:cs="Arial"/>
          <w:bCs/>
          <w:spacing w:val="-2"/>
          <w:sz w:val="20"/>
          <w:szCs w:val="20"/>
          <w:lang w:val="el-GR"/>
        </w:rPr>
      </w:pPr>
      <w:r w:rsidRPr="004F67C8">
        <w:rPr>
          <w:rFonts w:ascii="Effra Corp" w:eastAsia="Effra Corp" w:hAnsi="Effra Corp" w:cs="Arial"/>
          <w:b/>
          <w:sz w:val="20"/>
          <w:szCs w:val="20"/>
          <w:lang w:val="el-GR" w:bidi="el-GR"/>
        </w:rPr>
        <w:t>Ορισμοί και συμφωνίες Εναλλακτικών δεικτών μέτρησης της απόδοσης (ΕΔΜΑ)</w:t>
      </w:r>
    </w:p>
    <w:p w14:paraId="7D5EA837" w14:textId="77777777" w:rsidR="00A44CC1" w:rsidRPr="00D04C6E" w:rsidRDefault="00A44CC1" w:rsidP="009569DD">
      <w:pPr>
        <w:autoSpaceDE w:val="0"/>
        <w:autoSpaceDN w:val="0"/>
        <w:adjustRightInd w:val="0"/>
        <w:spacing w:after="60"/>
        <w:jc w:val="both"/>
        <w:rPr>
          <w:rFonts w:ascii="Effra Corp" w:hAnsi="Effra Corp" w:cs="Arial"/>
          <w:b/>
          <w:bCs/>
          <w:spacing w:val="-2"/>
          <w:sz w:val="20"/>
          <w:szCs w:val="20"/>
          <w:lang w:val="el-GR"/>
        </w:rPr>
      </w:pPr>
      <w:r w:rsidRPr="004F67C8">
        <w:rPr>
          <w:rFonts w:ascii="Effra Corp" w:eastAsia="Effra Corp" w:hAnsi="Effra Corp" w:cs="Arial"/>
          <w:b/>
          <w:spacing w:val="-2"/>
          <w:sz w:val="20"/>
          <w:szCs w:val="20"/>
          <w:lang w:val="el-GR" w:bidi="el-GR"/>
        </w:rPr>
        <w:t xml:space="preserve">Οργανική αύξηση </w:t>
      </w:r>
    </w:p>
    <w:p w14:paraId="36E23DC0" w14:textId="18C2A5AC" w:rsidR="00A44CC1" w:rsidRPr="004F67C8" w:rsidRDefault="00A44CC1" w:rsidP="009569DD">
      <w:pPr>
        <w:pStyle w:val="BodyTextIndent"/>
        <w:spacing w:after="60"/>
        <w:rPr>
          <w:rFonts w:ascii="Effra Corp" w:hAnsi="Effra Corp"/>
          <w:sz w:val="20"/>
          <w:szCs w:val="20"/>
          <w:u w:val="none"/>
          <w:lang w:val="el-GR"/>
        </w:rPr>
      </w:pPr>
      <w:r w:rsidRPr="004F67C8">
        <w:rPr>
          <w:rFonts w:ascii="Effra Corp" w:eastAsia="Effra Corp" w:hAnsi="Effra Corp" w:cs="Effra Corp"/>
          <w:sz w:val="20"/>
          <w:szCs w:val="20"/>
          <w:u w:val="none"/>
          <w:lang w:val="el-GR" w:bidi="el-GR"/>
        </w:rPr>
        <w:t>Η οργανική αύξηση επιτρέπει στους χρήστες να εστιάζουν στις λειτουργικές επιδόσεις του οργανισμού, σε μια βάση που δεν επηρεάζεται από μεταβολές στις συναλλαγματικές ισοτιμίες των ξένων νομισμάτων μεταξύ των περιόδων ή από μεταβολές στ</w:t>
      </w:r>
      <w:r w:rsidR="00D726E5">
        <w:rPr>
          <w:rFonts w:ascii="Effra Corp" w:eastAsia="Effra Corp" w:hAnsi="Effra Corp" w:cs="Effra Corp"/>
          <w:sz w:val="20"/>
          <w:szCs w:val="20"/>
          <w:u w:val="none"/>
          <w:lang w:val="el-GR" w:bidi="el-GR"/>
        </w:rPr>
        <w:t>η</w:t>
      </w:r>
      <w:r w:rsidR="00AE7FD1">
        <w:rPr>
          <w:rFonts w:ascii="Effra Corp" w:eastAsia="Effra Corp" w:hAnsi="Effra Corp" w:cs="Effra Corp"/>
          <w:sz w:val="20"/>
          <w:szCs w:val="20"/>
          <w:u w:val="none"/>
          <w:lang w:val="el-GR" w:bidi="el-GR"/>
        </w:rPr>
        <w:t>ν</w:t>
      </w:r>
      <w:r w:rsidR="00D726E5">
        <w:rPr>
          <w:rFonts w:ascii="Effra Corp" w:eastAsia="Effra Corp" w:hAnsi="Effra Corp" w:cs="Effra Corp"/>
          <w:sz w:val="20"/>
          <w:szCs w:val="20"/>
          <w:u w:val="none"/>
          <w:lang w:val="el-GR" w:bidi="el-GR"/>
        </w:rPr>
        <w:t xml:space="preserve"> </w:t>
      </w:r>
      <w:r w:rsidR="00485328">
        <w:rPr>
          <w:rFonts w:ascii="Effra Corp" w:eastAsia="Effra Corp" w:hAnsi="Effra Corp" w:cs="Effra Corp"/>
          <w:sz w:val="20"/>
          <w:szCs w:val="20"/>
          <w:u w:val="none"/>
          <w:lang w:val="el-GR" w:bidi="el-GR"/>
        </w:rPr>
        <w:t>ενοπ</w:t>
      </w:r>
      <w:r w:rsidR="004E68C5">
        <w:rPr>
          <w:rFonts w:ascii="Effra Corp" w:eastAsia="Effra Corp" w:hAnsi="Effra Corp" w:cs="Effra Corp"/>
          <w:sz w:val="20"/>
          <w:szCs w:val="20"/>
          <w:u w:val="none"/>
          <w:lang w:val="el-GR" w:bidi="el-GR"/>
        </w:rPr>
        <w:t>οιημένη σύνθεση</w:t>
      </w:r>
      <w:r w:rsidRPr="004F67C8">
        <w:rPr>
          <w:rFonts w:ascii="Effra Corp" w:eastAsia="Effra Corp" w:hAnsi="Effra Corp" w:cs="Effra Corp"/>
          <w:sz w:val="20"/>
          <w:szCs w:val="20"/>
          <w:u w:val="none"/>
          <w:lang w:val="el-GR" w:bidi="el-GR"/>
        </w:rPr>
        <w:t xml:space="preserve"> </w:t>
      </w:r>
      <w:r w:rsidR="00D726E5">
        <w:rPr>
          <w:rFonts w:ascii="Effra Corp" w:eastAsia="Effra Corp" w:hAnsi="Effra Corp" w:cs="Effra Corp"/>
          <w:sz w:val="20"/>
          <w:szCs w:val="20"/>
          <w:u w:val="none"/>
          <w:lang w:val="el-GR" w:bidi="el-GR"/>
        </w:rPr>
        <w:t xml:space="preserve">του </w:t>
      </w:r>
      <w:r w:rsidRPr="004F67C8">
        <w:rPr>
          <w:rFonts w:ascii="Effra Corp" w:eastAsia="Effra Corp" w:hAnsi="Effra Corp" w:cs="Effra Corp"/>
          <w:sz w:val="20"/>
          <w:szCs w:val="20"/>
          <w:u w:val="none"/>
          <w:lang w:val="el-GR" w:bidi="el-GR"/>
        </w:rPr>
        <w:t xml:space="preserve">Ομίλου («περιοχή ενοποίησης»), δηλαδή εξαγορές, </w:t>
      </w:r>
      <w:proofErr w:type="spellStart"/>
      <w:r w:rsidRPr="004F67C8">
        <w:rPr>
          <w:rFonts w:ascii="Effra Corp" w:eastAsia="Effra Corp" w:hAnsi="Effra Corp" w:cs="Effra Corp"/>
          <w:sz w:val="20"/>
          <w:szCs w:val="20"/>
          <w:u w:val="none"/>
          <w:lang w:val="el-GR" w:bidi="el-GR"/>
        </w:rPr>
        <w:t>αποεπενδύσεις</w:t>
      </w:r>
      <w:proofErr w:type="spellEnd"/>
      <w:r w:rsidRPr="004F67C8">
        <w:rPr>
          <w:rFonts w:ascii="Effra Corp" w:eastAsia="Effra Corp" w:hAnsi="Effra Corp" w:cs="Effra Corp"/>
          <w:sz w:val="20"/>
          <w:szCs w:val="20"/>
          <w:u w:val="none"/>
          <w:lang w:val="el-GR" w:bidi="el-GR"/>
        </w:rPr>
        <w:t xml:space="preserve"> και αναδιαρθρώσεις που οδηγούν σε </w:t>
      </w:r>
      <w:proofErr w:type="spellStart"/>
      <w:r w:rsidR="00D726E5" w:rsidRPr="004F67C8">
        <w:rPr>
          <w:rFonts w:ascii="Effra Corp" w:eastAsia="Effra Corp" w:hAnsi="Effra Corp" w:cs="Effra Corp"/>
          <w:sz w:val="20"/>
          <w:szCs w:val="20"/>
          <w:u w:val="none"/>
          <w:lang w:val="el-GR" w:bidi="el-GR"/>
        </w:rPr>
        <w:t>λογιστικοπο</w:t>
      </w:r>
      <w:r w:rsidR="00D726E5">
        <w:rPr>
          <w:rFonts w:ascii="Effra Corp" w:eastAsia="Effra Corp" w:hAnsi="Effra Corp" w:cs="Effra Corp"/>
          <w:sz w:val="20"/>
          <w:szCs w:val="20"/>
          <w:u w:val="none"/>
          <w:lang w:val="el-GR" w:bidi="el-GR"/>
        </w:rPr>
        <w:t>ίηση</w:t>
      </w:r>
      <w:proofErr w:type="spellEnd"/>
      <w:r w:rsidR="00D726E5" w:rsidRPr="004F67C8">
        <w:rPr>
          <w:rFonts w:ascii="Effra Corp" w:eastAsia="Effra Corp" w:hAnsi="Effra Corp" w:cs="Effra Corp"/>
          <w:sz w:val="20"/>
          <w:szCs w:val="20"/>
          <w:u w:val="none"/>
          <w:lang w:val="el-GR" w:bidi="el-GR"/>
        </w:rPr>
        <w:t xml:space="preserve"> </w:t>
      </w:r>
      <w:r w:rsidRPr="004F67C8">
        <w:rPr>
          <w:rFonts w:ascii="Effra Corp" w:eastAsia="Effra Corp" w:hAnsi="Effra Corp" w:cs="Effra Corp"/>
          <w:sz w:val="20"/>
          <w:szCs w:val="20"/>
          <w:u w:val="none"/>
          <w:lang w:val="el-GR" w:bidi="el-GR"/>
        </w:rPr>
        <w:t xml:space="preserve">με τη μέθοδο της καθαρής θέσης. Κατά συνέπεια, η οργανική αύξηση είναι σχεδιασμένη να διευκολύνει τους χρήστες να κατανοούν </w:t>
      </w:r>
      <w:r w:rsidR="00D726E5">
        <w:rPr>
          <w:rFonts w:ascii="Effra Corp" w:eastAsia="Effra Corp" w:hAnsi="Effra Corp" w:cs="Effra Corp"/>
          <w:sz w:val="20"/>
          <w:szCs w:val="20"/>
          <w:u w:val="none"/>
          <w:lang w:val="el-GR" w:bidi="el-GR"/>
        </w:rPr>
        <w:t xml:space="preserve">καλύτερα </w:t>
      </w:r>
      <w:r w:rsidRPr="004F67C8">
        <w:rPr>
          <w:rFonts w:ascii="Effra Corp" w:eastAsia="Effra Corp" w:hAnsi="Effra Corp" w:cs="Effra Corp"/>
          <w:sz w:val="20"/>
          <w:szCs w:val="20"/>
          <w:u w:val="none"/>
          <w:lang w:val="el-GR" w:bidi="el-GR"/>
        </w:rPr>
        <w:t xml:space="preserve">τις υποκείμενες επιδόσεις του Ομίλου. </w:t>
      </w:r>
    </w:p>
    <w:p w14:paraId="351FCD46" w14:textId="6DCBF0C7" w:rsidR="00A44CC1" w:rsidRPr="004F67C8" w:rsidRDefault="00A44CC1" w:rsidP="009569DD">
      <w:pPr>
        <w:pStyle w:val="BodyTextIndent"/>
        <w:spacing w:after="60"/>
        <w:rPr>
          <w:rFonts w:ascii="Effra Corp" w:hAnsi="Effra Corp"/>
          <w:spacing w:val="-2"/>
          <w:sz w:val="20"/>
          <w:szCs w:val="20"/>
          <w:u w:val="none"/>
          <w:lang w:val="el-GR"/>
        </w:rPr>
      </w:pPr>
      <w:r w:rsidRPr="004F67C8">
        <w:rPr>
          <w:rFonts w:ascii="Effra Corp" w:eastAsia="Effra Corp" w:hAnsi="Effra Corp" w:cs="Effra Corp"/>
          <w:sz w:val="20"/>
          <w:szCs w:val="20"/>
          <w:u w:val="none"/>
          <w:lang w:val="el-GR" w:bidi="el-GR"/>
        </w:rPr>
        <w:t xml:space="preserve">Ειδικότερα, τα ακόλουθα στοιχεία </w:t>
      </w:r>
      <w:r w:rsidR="00D726E5" w:rsidRPr="004F67C8">
        <w:rPr>
          <w:rFonts w:ascii="Effra Corp" w:eastAsia="Effra Corp" w:hAnsi="Effra Corp" w:cs="Effra Corp"/>
          <w:sz w:val="20"/>
          <w:szCs w:val="20"/>
          <w:u w:val="none"/>
          <w:lang w:val="el-GR" w:bidi="el-GR"/>
        </w:rPr>
        <w:t xml:space="preserve">προσαρμόζονται </w:t>
      </w:r>
      <w:r w:rsidRPr="004F67C8">
        <w:rPr>
          <w:rFonts w:ascii="Effra Corp" w:eastAsia="Effra Corp" w:hAnsi="Effra Corp" w:cs="Effra Corp"/>
          <w:sz w:val="20"/>
          <w:szCs w:val="20"/>
          <w:u w:val="none"/>
          <w:lang w:val="el-GR" w:bidi="el-GR"/>
        </w:rPr>
        <w:t xml:space="preserve">από τον όγκο πωλήσεων και τα καθαρά έσοδα από πωλήσεις του Ομίλου, προκειμένου να εξαχθούν </w:t>
      </w:r>
      <w:r w:rsidR="004D3230">
        <w:rPr>
          <w:rFonts w:ascii="Effra Corp" w:eastAsia="Effra Corp" w:hAnsi="Effra Corp" w:cs="Effra Corp"/>
          <w:sz w:val="20"/>
          <w:szCs w:val="20"/>
          <w:u w:val="none"/>
          <w:lang w:val="el-GR" w:bidi="el-GR"/>
        </w:rPr>
        <w:t>τα ποσοστά</w:t>
      </w:r>
      <w:r w:rsidRPr="004F67C8">
        <w:rPr>
          <w:rFonts w:ascii="Effra Corp" w:eastAsia="Effra Corp" w:hAnsi="Effra Corp" w:cs="Effra Corp"/>
          <w:spacing w:val="-2"/>
          <w:sz w:val="20"/>
          <w:szCs w:val="20"/>
          <w:u w:val="none"/>
          <w:lang w:val="el-GR" w:bidi="el-GR"/>
        </w:rPr>
        <w:t xml:space="preserve"> οργανικής αύξησης</w:t>
      </w:r>
      <w:r w:rsidRPr="004F67C8">
        <w:rPr>
          <w:rFonts w:ascii="Effra Corp" w:eastAsia="Effra Corp" w:hAnsi="Effra Corp" w:cs="Effra Corp"/>
          <w:sz w:val="20"/>
          <w:szCs w:val="20"/>
          <w:u w:val="none"/>
          <w:lang w:val="el-GR" w:bidi="el-GR"/>
        </w:rPr>
        <w:t>:</w:t>
      </w:r>
    </w:p>
    <w:p w14:paraId="6706376B" w14:textId="198CDC09" w:rsidR="00A44CC1" w:rsidRPr="00EA1A1A" w:rsidRDefault="00A44CC1" w:rsidP="009569DD">
      <w:pPr>
        <w:pStyle w:val="BodyTextIndent"/>
        <w:spacing w:after="60"/>
        <w:rPr>
          <w:rFonts w:ascii="Effra Corp" w:hAnsi="Effra Corp"/>
          <w:b/>
          <w:bCs/>
          <w:sz w:val="20"/>
          <w:szCs w:val="20"/>
          <w:u w:val="none"/>
          <w:lang w:val="el-GR"/>
        </w:rPr>
      </w:pPr>
      <w:r w:rsidRPr="00EA1A1A">
        <w:rPr>
          <w:rFonts w:ascii="Effra Corp" w:eastAsia="Effra Corp" w:hAnsi="Effra Corp" w:cs="Effra Corp"/>
          <w:b/>
          <w:bCs/>
          <w:sz w:val="20"/>
          <w:szCs w:val="20"/>
          <w:u w:val="none"/>
          <w:lang w:val="el-GR" w:bidi="el-GR"/>
        </w:rPr>
        <w:t xml:space="preserve">α) Συναλλαγματική επίδραση </w:t>
      </w:r>
    </w:p>
    <w:p w14:paraId="3BA2746C" w14:textId="65E49273" w:rsidR="00A44CC1" w:rsidRDefault="00A44CC1" w:rsidP="009569DD">
      <w:pPr>
        <w:pStyle w:val="BodyTextIndent"/>
        <w:spacing w:after="60"/>
        <w:rPr>
          <w:rFonts w:ascii="Effra Corp" w:eastAsia="Effra Corp" w:hAnsi="Effra Corp" w:cs="Effra Corp"/>
          <w:sz w:val="20"/>
          <w:szCs w:val="20"/>
          <w:u w:val="none"/>
          <w:lang w:val="el-GR" w:bidi="el-GR"/>
        </w:rPr>
      </w:pPr>
      <w:r w:rsidRPr="00955156">
        <w:rPr>
          <w:rFonts w:ascii="Effra Corp" w:eastAsia="Effra Corp" w:hAnsi="Effra Corp" w:cs="Effra Corp"/>
          <w:sz w:val="20"/>
          <w:szCs w:val="20"/>
          <w:u w:val="none"/>
          <w:lang w:val="el-GR" w:bidi="el-GR"/>
        </w:rPr>
        <w:t>Η συναλλαγματική επίδραση στον υπολογισμό της οργανικής αύξησης αντικατοπτρίζει την</w:t>
      </w:r>
      <w:r w:rsidR="00955156" w:rsidRPr="00955156">
        <w:rPr>
          <w:rFonts w:ascii="Effra Corp" w:eastAsia="Effra Corp" w:hAnsi="Effra Corp"/>
          <w:spacing w:val="-2"/>
          <w:sz w:val="21"/>
          <w:szCs w:val="21"/>
          <w:u w:val="none"/>
          <w:lang w:val="el-GR" w:bidi="el-GR"/>
        </w:rPr>
        <w:t xml:space="preserve"> </w:t>
      </w:r>
      <w:r w:rsidR="00955156" w:rsidRPr="00955156">
        <w:rPr>
          <w:rFonts w:ascii="Effra Corp" w:eastAsia="Effra Corp" w:hAnsi="Effra Corp"/>
          <w:spacing w:val="-2"/>
          <w:sz w:val="20"/>
          <w:szCs w:val="20"/>
          <w:u w:val="none"/>
          <w:lang w:val="el-GR" w:bidi="el-GR"/>
        </w:rPr>
        <w:t xml:space="preserve">προσαρμογή </w:t>
      </w:r>
      <w:r w:rsidRPr="00955156">
        <w:rPr>
          <w:rFonts w:ascii="Effra Corp" w:eastAsia="Effra Corp" w:hAnsi="Effra Corp" w:cs="Effra Corp"/>
          <w:sz w:val="20"/>
          <w:szCs w:val="20"/>
          <w:u w:val="none"/>
          <w:lang w:val="el-GR" w:bidi="el-GR"/>
        </w:rPr>
        <w:t xml:space="preserve">των καθαρών εσόδων από πωλήσεις της προηγούμενης περιόδου </w:t>
      </w:r>
      <w:r w:rsidR="00090908">
        <w:rPr>
          <w:rFonts w:ascii="Effra Corp" w:eastAsia="Effra Corp" w:hAnsi="Effra Corp"/>
          <w:spacing w:val="-2"/>
          <w:sz w:val="20"/>
          <w:szCs w:val="20"/>
          <w:u w:val="none"/>
          <w:lang w:val="el-GR" w:bidi="el-GR"/>
        </w:rPr>
        <w:t>για</w:t>
      </w:r>
      <w:r w:rsidR="00955156" w:rsidRPr="00955156">
        <w:rPr>
          <w:rFonts w:ascii="Effra Corp" w:eastAsia="Effra Corp" w:hAnsi="Effra Corp"/>
          <w:spacing w:val="-2"/>
          <w:sz w:val="20"/>
          <w:szCs w:val="20"/>
          <w:u w:val="none"/>
          <w:lang w:val="el-GR" w:bidi="el-GR"/>
        </w:rPr>
        <w:t xml:space="preserve"> την επίδραση </w:t>
      </w:r>
      <w:r w:rsidR="00090908">
        <w:rPr>
          <w:rFonts w:ascii="Effra Corp" w:eastAsia="Effra Corp" w:hAnsi="Effra Corp"/>
          <w:spacing w:val="-2"/>
          <w:sz w:val="20"/>
          <w:szCs w:val="20"/>
          <w:u w:val="none"/>
          <w:lang w:val="el-GR" w:bidi="el-GR"/>
        </w:rPr>
        <w:t>των μεταβολών στις</w:t>
      </w:r>
      <w:r w:rsidR="00090908" w:rsidRPr="00955156">
        <w:rPr>
          <w:rFonts w:ascii="Effra Corp" w:eastAsia="Effra Corp" w:hAnsi="Effra Corp"/>
          <w:spacing w:val="-2"/>
          <w:sz w:val="20"/>
          <w:szCs w:val="20"/>
          <w:u w:val="none"/>
          <w:lang w:val="el-GR" w:bidi="el-GR"/>
        </w:rPr>
        <w:t xml:space="preserve"> </w:t>
      </w:r>
      <w:r w:rsidR="00955156" w:rsidRPr="00955156">
        <w:rPr>
          <w:rFonts w:ascii="Effra Corp" w:eastAsia="Effra Corp" w:hAnsi="Effra Corp"/>
          <w:spacing w:val="-2"/>
          <w:sz w:val="20"/>
          <w:szCs w:val="20"/>
          <w:u w:val="none"/>
          <w:lang w:val="el-GR" w:bidi="el-GR"/>
        </w:rPr>
        <w:t>συναλλαγματικ</w:t>
      </w:r>
      <w:r w:rsidR="00090908">
        <w:rPr>
          <w:rFonts w:ascii="Effra Corp" w:eastAsia="Effra Corp" w:hAnsi="Effra Corp"/>
          <w:spacing w:val="-2"/>
          <w:sz w:val="20"/>
          <w:szCs w:val="20"/>
          <w:u w:val="none"/>
          <w:lang w:val="el-GR" w:bidi="el-GR"/>
        </w:rPr>
        <w:t>ές</w:t>
      </w:r>
      <w:r w:rsidR="00955156" w:rsidRPr="00955156">
        <w:rPr>
          <w:rFonts w:ascii="Effra Corp" w:eastAsia="Effra Corp" w:hAnsi="Effra Corp"/>
          <w:spacing w:val="-2"/>
          <w:sz w:val="20"/>
          <w:szCs w:val="20"/>
          <w:u w:val="none"/>
          <w:lang w:val="el-GR" w:bidi="el-GR"/>
        </w:rPr>
        <w:t xml:space="preserve"> ισοτιμ</w:t>
      </w:r>
      <w:r w:rsidR="00090908">
        <w:rPr>
          <w:rFonts w:ascii="Effra Corp" w:eastAsia="Effra Corp" w:hAnsi="Effra Corp"/>
          <w:spacing w:val="-2"/>
          <w:sz w:val="20"/>
          <w:szCs w:val="20"/>
          <w:u w:val="none"/>
          <w:lang w:val="el-GR" w:bidi="el-GR"/>
        </w:rPr>
        <w:t>ίες</w:t>
      </w:r>
      <w:r w:rsidR="00955156" w:rsidRPr="00955156">
        <w:rPr>
          <w:rFonts w:ascii="Effra Corp" w:eastAsia="Effra Corp" w:hAnsi="Effra Corp"/>
          <w:spacing w:val="-2"/>
          <w:sz w:val="20"/>
          <w:szCs w:val="20"/>
          <w:u w:val="none"/>
          <w:lang w:val="el-GR" w:bidi="el-GR"/>
        </w:rPr>
        <w:t xml:space="preserve"> </w:t>
      </w:r>
      <w:r w:rsidR="00FF04A3">
        <w:rPr>
          <w:rFonts w:ascii="Effra Corp" w:eastAsia="Effra Corp" w:hAnsi="Effra Corp"/>
          <w:spacing w:val="-2"/>
          <w:sz w:val="20"/>
          <w:szCs w:val="20"/>
          <w:u w:val="none"/>
          <w:lang w:val="el-GR" w:bidi="el-GR"/>
        </w:rPr>
        <w:t>που ισχύουν κατά την</w:t>
      </w:r>
      <w:r w:rsidR="00955156" w:rsidRPr="00955156">
        <w:rPr>
          <w:rFonts w:ascii="Effra Corp" w:eastAsia="Effra Corp" w:hAnsi="Effra Corp"/>
          <w:spacing w:val="-2"/>
          <w:sz w:val="20"/>
          <w:szCs w:val="20"/>
          <w:u w:val="none"/>
          <w:lang w:val="el-GR" w:bidi="el-GR"/>
        </w:rPr>
        <w:t xml:space="preserve"> τρέχουσα </w:t>
      </w:r>
      <w:proofErr w:type="spellStart"/>
      <w:r w:rsidR="00955156" w:rsidRPr="00955156">
        <w:rPr>
          <w:rFonts w:ascii="Effra Corp" w:eastAsia="Effra Corp" w:hAnsi="Effra Corp"/>
          <w:spacing w:val="-2"/>
          <w:sz w:val="20"/>
          <w:szCs w:val="20"/>
          <w:u w:val="none"/>
          <w:lang w:val="el-GR" w:bidi="el-GR"/>
        </w:rPr>
        <w:t>περ</w:t>
      </w:r>
      <w:r w:rsidR="00090908">
        <w:rPr>
          <w:rFonts w:ascii="Effra Corp" w:eastAsia="Effra Corp" w:hAnsi="Effra Corp"/>
          <w:spacing w:val="-2"/>
          <w:sz w:val="20"/>
          <w:szCs w:val="20"/>
          <w:u w:val="none"/>
          <w:lang w:val="el-GR" w:bidi="el-GR"/>
        </w:rPr>
        <w:t>ιό</w:t>
      </w:r>
      <w:r w:rsidR="00955156" w:rsidRPr="00955156">
        <w:rPr>
          <w:rFonts w:ascii="Effra Corp" w:eastAsia="Effra Corp" w:hAnsi="Effra Corp"/>
          <w:spacing w:val="-2"/>
          <w:sz w:val="20"/>
          <w:szCs w:val="20"/>
          <w:u w:val="none"/>
          <w:lang w:val="el-GR" w:bidi="el-GR"/>
        </w:rPr>
        <w:t>δο</w:t>
      </w:r>
      <w:proofErr w:type="spellEnd"/>
      <w:r w:rsidRPr="004F67C8">
        <w:rPr>
          <w:rFonts w:ascii="Effra Corp" w:eastAsia="Effra Corp" w:hAnsi="Effra Corp" w:cs="Effra Corp"/>
          <w:sz w:val="20"/>
          <w:szCs w:val="20"/>
          <w:u w:val="none"/>
          <w:lang w:val="el-GR" w:bidi="el-GR"/>
        </w:rPr>
        <w:t>.</w:t>
      </w:r>
    </w:p>
    <w:p w14:paraId="3BE82E49" w14:textId="77777777" w:rsidR="00955156" w:rsidRPr="004F67C8" w:rsidRDefault="00955156" w:rsidP="009569DD">
      <w:pPr>
        <w:pStyle w:val="BodyTextIndent"/>
        <w:spacing w:after="60"/>
        <w:rPr>
          <w:rFonts w:ascii="Effra Corp" w:hAnsi="Effra Corp"/>
          <w:sz w:val="20"/>
          <w:szCs w:val="20"/>
          <w:u w:val="none"/>
          <w:lang w:val="el-GR"/>
        </w:rPr>
      </w:pPr>
    </w:p>
    <w:p w14:paraId="00DAF333" w14:textId="1B59F1D9" w:rsidR="00A44CC1" w:rsidRPr="00EA1A1A" w:rsidRDefault="00A44CC1" w:rsidP="009569DD">
      <w:pPr>
        <w:pStyle w:val="BodyTextIndent"/>
        <w:spacing w:after="60"/>
        <w:rPr>
          <w:rFonts w:ascii="Effra Corp" w:hAnsi="Effra Corp"/>
          <w:b/>
          <w:bCs/>
          <w:sz w:val="20"/>
          <w:szCs w:val="20"/>
          <w:u w:val="none"/>
          <w:lang w:val="el-GR"/>
        </w:rPr>
      </w:pPr>
      <w:r w:rsidRPr="00EA1A1A">
        <w:rPr>
          <w:rFonts w:ascii="Effra Corp" w:eastAsia="Effra Corp" w:hAnsi="Effra Corp" w:cs="Effra Corp"/>
          <w:b/>
          <w:bCs/>
          <w:sz w:val="20"/>
          <w:szCs w:val="20"/>
          <w:u w:val="none"/>
          <w:lang w:val="el-GR" w:bidi="el-GR"/>
        </w:rPr>
        <w:t xml:space="preserve">β) Αντίκτυπος της περιοχής ενοποίησης </w:t>
      </w:r>
    </w:p>
    <w:p w14:paraId="5CF94E80" w14:textId="3D5ACD16" w:rsidR="00A44CC1" w:rsidRPr="004F67C8" w:rsidRDefault="00A44CC1" w:rsidP="009569DD">
      <w:pPr>
        <w:pStyle w:val="BodyTextIndent"/>
        <w:spacing w:after="60"/>
        <w:rPr>
          <w:rFonts w:ascii="Effra Corp" w:hAnsi="Effra Corp"/>
          <w:color w:val="000000"/>
          <w:sz w:val="20"/>
          <w:szCs w:val="20"/>
          <w:lang w:val="el-GR"/>
        </w:rPr>
      </w:pPr>
      <w:r w:rsidRPr="004F67C8">
        <w:rPr>
          <w:rFonts w:ascii="Effra Corp" w:eastAsia="Effra Corp" w:hAnsi="Effra Corp" w:cs="Effra Corp"/>
          <w:sz w:val="20"/>
          <w:szCs w:val="20"/>
          <w:u w:val="none"/>
          <w:lang w:val="el-GR" w:bidi="el-GR"/>
        </w:rPr>
        <w:lastRenderedPageBreak/>
        <w:t xml:space="preserve">Οι τιμές όγκου πωλήσεων και καθαρών εσόδων από πωλήσεις της τρέχουσας περιόδου προσαρμόζονται </w:t>
      </w:r>
      <w:r w:rsidR="00955156">
        <w:rPr>
          <w:rFonts w:ascii="Effra Corp" w:eastAsia="Effra Corp" w:hAnsi="Effra Corp" w:cs="Effra Corp"/>
          <w:sz w:val="20"/>
          <w:szCs w:val="20"/>
          <w:u w:val="none"/>
          <w:lang w:val="el-GR" w:bidi="el-GR"/>
        </w:rPr>
        <w:t>ως προς</w:t>
      </w:r>
      <w:r w:rsidRPr="004F67C8">
        <w:rPr>
          <w:rFonts w:ascii="Effra Corp" w:eastAsia="Effra Corp" w:hAnsi="Effra Corp" w:cs="Effra Corp"/>
          <w:sz w:val="20"/>
          <w:szCs w:val="20"/>
          <w:u w:val="none"/>
          <w:lang w:val="el-GR" w:bidi="el-GR"/>
        </w:rPr>
        <w:t xml:space="preserve"> τη</w:t>
      </w:r>
      <w:r w:rsidR="00955156">
        <w:rPr>
          <w:rFonts w:ascii="Effra Corp" w:eastAsia="Effra Corp" w:hAnsi="Effra Corp" w:cs="Effra Corp"/>
          <w:sz w:val="20"/>
          <w:szCs w:val="20"/>
          <w:u w:val="none"/>
          <w:lang w:val="el-GR" w:bidi="el-GR"/>
        </w:rPr>
        <w:t>ν</w:t>
      </w:r>
      <w:r w:rsidRPr="004F67C8">
        <w:rPr>
          <w:rFonts w:ascii="Effra Corp" w:eastAsia="Effra Corp" w:hAnsi="Effra Corp" w:cs="Effra Corp"/>
          <w:sz w:val="20"/>
          <w:szCs w:val="20"/>
          <w:u w:val="none"/>
          <w:lang w:val="el-GR" w:bidi="el-GR"/>
        </w:rPr>
        <w:t xml:space="preserve"> επίδραση των μεταβολών στην περιοχή ενοποίησης. Πιο συγκεκριμένα, οι προσαρμογές εφαρμόζονται ως εξής:</w:t>
      </w:r>
      <w:r w:rsidRPr="004F67C8">
        <w:rPr>
          <w:rFonts w:ascii="Effra Corp" w:eastAsia="Effra Corp" w:hAnsi="Effra Corp" w:cs="Effra Corp"/>
          <w:color w:val="000000"/>
          <w:sz w:val="20"/>
          <w:szCs w:val="20"/>
          <w:lang w:val="el-GR" w:bidi="el-GR"/>
        </w:rPr>
        <w:t xml:space="preserve"> </w:t>
      </w:r>
    </w:p>
    <w:p w14:paraId="6BDAA546" w14:textId="77777777" w:rsidR="00A44CC1" w:rsidRPr="00973EDF" w:rsidRDefault="00A44CC1" w:rsidP="009569DD">
      <w:pPr>
        <w:pStyle w:val="BodyTextIndent"/>
        <w:spacing w:after="60"/>
        <w:rPr>
          <w:rFonts w:ascii="Effra Corp" w:hAnsi="Effra Corp"/>
          <w:color w:val="000000"/>
          <w:sz w:val="20"/>
          <w:szCs w:val="20"/>
          <w:u w:val="none"/>
          <w:lang w:val="el-GR"/>
        </w:rPr>
      </w:pPr>
      <w:r w:rsidRPr="00973EDF">
        <w:rPr>
          <w:rFonts w:ascii="Effra Corp" w:eastAsia="Effra Corp" w:hAnsi="Effra Corp" w:cs="Effra Corp"/>
          <w:color w:val="000000"/>
          <w:sz w:val="20"/>
          <w:szCs w:val="20"/>
          <w:u w:val="none"/>
          <w:lang w:val="el-GR" w:bidi="el-GR"/>
        </w:rPr>
        <w:t xml:space="preserve">i. Εξαγορές: </w:t>
      </w:r>
    </w:p>
    <w:p w14:paraId="4AA2ED49" w14:textId="38733E31" w:rsidR="00A44CC1" w:rsidRPr="004F67C8" w:rsidRDefault="00A44CC1" w:rsidP="009569DD">
      <w:pPr>
        <w:pStyle w:val="BodyTextIndent"/>
        <w:spacing w:after="60"/>
        <w:rPr>
          <w:rFonts w:ascii="Effra Corp" w:hAnsi="Effra Corp"/>
          <w:color w:val="000000"/>
          <w:sz w:val="20"/>
          <w:szCs w:val="20"/>
          <w:u w:val="none"/>
          <w:lang w:val="el-GR"/>
        </w:rPr>
      </w:pPr>
      <w:r w:rsidRPr="004F67C8">
        <w:rPr>
          <w:rFonts w:ascii="Effra Corp" w:eastAsia="Effra Corp" w:hAnsi="Effra Corp" w:cs="Effra Corp"/>
          <w:color w:val="000000"/>
          <w:sz w:val="20"/>
          <w:szCs w:val="20"/>
          <w:u w:val="none"/>
          <w:lang w:val="el-GR" w:bidi="el-GR"/>
        </w:rPr>
        <w:t xml:space="preserve">Για τις εξαγορές του τρέχοντος έτους, τα αποτελέσματα της τρέχουσας περιόδου από τις εξαγορασμένες </w:t>
      </w:r>
      <w:r w:rsidR="00FD181A">
        <w:rPr>
          <w:rFonts w:ascii="Effra Corp" w:eastAsia="Effra Corp" w:hAnsi="Effra Corp" w:cs="Effra Corp"/>
          <w:color w:val="000000"/>
          <w:sz w:val="20"/>
          <w:szCs w:val="20"/>
          <w:u w:val="none"/>
          <w:lang w:val="el-GR" w:bidi="el-GR"/>
        </w:rPr>
        <w:t>εταιρείες</w:t>
      </w:r>
      <w:r w:rsidR="00FD181A" w:rsidRPr="004F67C8">
        <w:rPr>
          <w:rFonts w:ascii="Effra Corp" w:eastAsia="Effra Corp" w:hAnsi="Effra Corp" w:cs="Effra Corp"/>
          <w:color w:val="000000"/>
          <w:sz w:val="20"/>
          <w:szCs w:val="20"/>
          <w:u w:val="none"/>
          <w:lang w:val="el-GR" w:bidi="el-GR"/>
        </w:rPr>
        <w:t xml:space="preserve"> </w:t>
      </w:r>
      <w:r w:rsidRPr="004F67C8">
        <w:rPr>
          <w:rFonts w:ascii="Effra Corp" w:eastAsia="Effra Corp" w:hAnsi="Effra Corp" w:cs="Effra Corp"/>
          <w:color w:val="000000"/>
          <w:sz w:val="20"/>
          <w:szCs w:val="20"/>
          <w:u w:val="none"/>
          <w:lang w:val="el-GR" w:bidi="el-GR"/>
        </w:rPr>
        <w:t xml:space="preserve">δεν συμπεριλαμβάνονται στον υπολογισμό της οργανικής αύξησης. Για τις εξαγορές του προηγούμενου έτους, τα αποτελέσματα της τρέχουσας περιόδου </w:t>
      </w:r>
      <w:r w:rsidR="00063FEC" w:rsidRPr="004F67C8">
        <w:rPr>
          <w:rFonts w:ascii="Effra Corp" w:eastAsia="Effra Corp" w:hAnsi="Effra Corp" w:cs="Effra Corp"/>
          <w:color w:val="000000"/>
          <w:sz w:val="20"/>
          <w:szCs w:val="20"/>
          <w:u w:val="none"/>
          <w:lang w:val="el-GR" w:bidi="el-GR"/>
        </w:rPr>
        <w:t xml:space="preserve">από τις εξαγορασμένες </w:t>
      </w:r>
      <w:r w:rsidR="00FD181A">
        <w:rPr>
          <w:rFonts w:ascii="Effra Corp" w:eastAsia="Effra Corp" w:hAnsi="Effra Corp" w:cs="Effra Corp"/>
          <w:color w:val="000000"/>
          <w:sz w:val="20"/>
          <w:szCs w:val="20"/>
          <w:u w:val="none"/>
          <w:lang w:val="el-GR" w:bidi="el-GR"/>
        </w:rPr>
        <w:t>εταιρείες</w:t>
      </w:r>
      <w:r w:rsidR="00FD181A" w:rsidRPr="004F67C8">
        <w:rPr>
          <w:rFonts w:ascii="Effra Corp" w:eastAsia="Effra Corp" w:hAnsi="Effra Corp" w:cs="Effra Corp"/>
          <w:color w:val="000000"/>
          <w:sz w:val="20"/>
          <w:szCs w:val="20"/>
          <w:u w:val="none"/>
          <w:lang w:val="el-GR" w:bidi="el-GR"/>
        </w:rPr>
        <w:t xml:space="preserve"> </w:t>
      </w:r>
      <w:r w:rsidRPr="004F67C8">
        <w:rPr>
          <w:rFonts w:ascii="Effra Corp" w:eastAsia="Effra Corp" w:hAnsi="Effra Corp" w:cs="Effra Corp"/>
          <w:color w:val="000000"/>
          <w:sz w:val="20"/>
          <w:szCs w:val="20"/>
          <w:u w:val="none"/>
          <w:lang w:val="el-GR" w:bidi="el-GR"/>
        </w:rPr>
        <w:t xml:space="preserve">για την αντίστοιχη περίοδο του προηγούμενου έτους κατά την οποία οι </w:t>
      </w:r>
      <w:r w:rsidR="00063FEC">
        <w:rPr>
          <w:rFonts w:ascii="Effra Corp" w:eastAsia="Effra Corp" w:hAnsi="Effra Corp" w:cs="Effra Corp"/>
          <w:color w:val="000000"/>
          <w:sz w:val="20"/>
          <w:szCs w:val="20"/>
          <w:u w:val="none"/>
          <w:lang w:val="el-GR" w:bidi="el-GR"/>
        </w:rPr>
        <w:t>εν λόγω</w:t>
      </w:r>
      <w:r w:rsidR="00063FEC" w:rsidRPr="004F67C8">
        <w:rPr>
          <w:rFonts w:ascii="Effra Corp" w:eastAsia="Effra Corp" w:hAnsi="Effra Corp" w:cs="Effra Corp"/>
          <w:color w:val="000000"/>
          <w:sz w:val="20"/>
          <w:szCs w:val="20"/>
          <w:u w:val="none"/>
          <w:lang w:val="el-GR" w:bidi="el-GR"/>
        </w:rPr>
        <w:t xml:space="preserve"> </w:t>
      </w:r>
      <w:r w:rsidR="00FD181A">
        <w:rPr>
          <w:rFonts w:ascii="Effra Corp" w:eastAsia="Effra Corp" w:hAnsi="Effra Corp" w:cs="Effra Corp"/>
          <w:color w:val="000000"/>
          <w:sz w:val="20"/>
          <w:szCs w:val="20"/>
          <w:u w:val="none"/>
          <w:lang w:val="el-GR" w:bidi="el-GR"/>
        </w:rPr>
        <w:t>εταιρείες</w:t>
      </w:r>
      <w:r w:rsidR="00FD181A" w:rsidRPr="004F67C8">
        <w:rPr>
          <w:rFonts w:ascii="Effra Corp" w:eastAsia="Effra Corp" w:hAnsi="Effra Corp" w:cs="Effra Corp"/>
          <w:color w:val="000000"/>
          <w:sz w:val="20"/>
          <w:szCs w:val="20"/>
          <w:u w:val="none"/>
          <w:lang w:val="el-GR" w:bidi="el-GR"/>
        </w:rPr>
        <w:t xml:space="preserve"> </w:t>
      </w:r>
      <w:r w:rsidRPr="004F67C8">
        <w:rPr>
          <w:rFonts w:ascii="Effra Corp" w:eastAsia="Effra Corp" w:hAnsi="Effra Corp" w:cs="Effra Corp"/>
          <w:color w:val="000000"/>
          <w:sz w:val="20"/>
          <w:szCs w:val="20"/>
          <w:u w:val="none"/>
          <w:lang w:val="el-GR" w:bidi="el-GR"/>
        </w:rPr>
        <w:t>δεν είχαν ενοποιηθεί, δεν συμπεριλαμβάνονται στον υπολογισμό της οργανικής αύξησης.</w:t>
      </w:r>
    </w:p>
    <w:p w14:paraId="6FA2BE98" w14:textId="77777777" w:rsidR="00A44CC1" w:rsidRPr="00973EDF" w:rsidRDefault="00A44CC1" w:rsidP="003170B9">
      <w:pPr>
        <w:pStyle w:val="BodyTextIndent"/>
        <w:rPr>
          <w:rFonts w:ascii="Effra Corp" w:hAnsi="Effra Corp"/>
          <w:color w:val="000000"/>
          <w:sz w:val="20"/>
          <w:szCs w:val="20"/>
          <w:u w:val="none"/>
          <w:lang w:val="el-GR"/>
        </w:rPr>
      </w:pPr>
      <w:proofErr w:type="spellStart"/>
      <w:r w:rsidRPr="00973EDF">
        <w:rPr>
          <w:rFonts w:ascii="Effra Corp" w:eastAsia="Effra Corp" w:hAnsi="Effra Corp" w:cs="Effra Corp"/>
          <w:color w:val="000000"/>
          <w:sz w:val="20"/>
          <w:szCs w:val="20"/>
          <w:u w:val="none"/>
          <w:lang w:val="el-GR" w:bidi="el-GR"/>
        </w:rPr>
        <w:t>ii</w:t>
      </w:r>
      <w:proofErr w:type="spellEnd"/>
      <w:r w:rsidRPr="00973EDF">
        <w:rPr>
          <w:rFonts w:ascii="Effra Corp" w:eastAsia="Effra Corp" w:hAnsi="Effra Corp" w:cs="Effra Corp"/>
          <w:color w:val="000000"/>
          <w:sz w:val="20"/>
          <w:szCs w:val="20"/>
          <w:u w:val="none"/>
          <w:lang w:val="el-GR" w:bidi="el-GR"/>
        </w:rPr>
        <w:t xml:space="preserve">. </w:t>
      </w:r>
      <w:proofErr w:type="spellStart"/>
      <w:r w:rsidRPr="00973EDF">
        <w:rPr>
          <w:rFonts w:ascii="Effra Corp" w:eastAsia="Effra Corp" w:hAnsi="Effra Corp" w:cs="Effra Corp"/>
          <w:color w:val="000000"/>
          <w:sz w:val="20"/>
          <w:szCs w:val="20"/>
          <w:u w:val="none"/>
          <w:lang w:val="el-GR" w:bidi="el-GR"/>
        </w:rPr>
        <w:t>Αποεπενδύσεις</w:t>
      </w:r>
      <w:proofErr w:type="spellEnd"/>
      <w:r w:rsidRPr="00973EDF">
        <w:rPr>
          <w:rFonts w:ascii="Effra Corp" w:eastAsia="Effra Corp" w:hAnsi="Effra Corp" w:cs="Effra Corp"/>
          <w:color w:val="000000"/>
          <w:sz w:val="20"/>
          <w:szCs w:val="20"/>
          <w:u w:val="none"/>
          <w:lang w:val="el-GR" w:bidi="el-GR"/>
        </w:rPr>
        <w:t xml:space="preserve">: </w:t>
      </w:r>
    </w:p>
    <w:p w14:paraId="7EFDB554" w14:textId="07EEB42B" w:rsidR="00A44CC1" w:rsidRPr="004F67C8" w:rsidRDefault="00A44CC1" w:rsidP="009569DD">
      <w:pPr>
        <w:pStyle w:val="BodyTextIndent"/>
        <w:spacing w:after="60"/>
        <w:rPr>
          <w:rFonts w:ascii="Effra Corp" w:hAnsi="Effra Corp"/>
          <w:color w:val="000000"/>
          <w:sz w:val="20"/>
          <w:szCs w:val="20"/>
          <w:lang w:val="el-GR"/>
        </w:rPr>
      </w:pPr>
      <w:r w:rsidRPr="004F67C8">
        <w:rPr>
          <w:rFonts w:ascii="Effra Corp" w:eastAsia="Effra Corp" w:hAnsi="Effra Corp" w:cs="Effra Corp"/>
          <w:color w:val="000000"/>
          <w:sz w:val="20"/>
          <w:szCs w:val="20"/>
          <w:u w:val="none"/>
          <w:lang w:val="el-GR" w:bidi="el-GR"/>
        </w:rPr>
        <w:t xml:space="preserve">Για τις </w:t>
      </w:r>
      <w:proofErr w:type="spellStart"/>
      <w:r w:rsidRPr="004F67C8">
        <w:rPr>
          <w:rFonts w:ascii="Effra Corp" w:eastAsia="Effra Corp" w:hAnsi="Effra Corp" w:cs="Effra Corp"/>
          <w:color w:val="000000"/>
          <w:sz w:val="20"/>
          <w:szCs w:val="20"/>
          <w:u w:val="none"/>
          <w:lang w:val="el-GR" w:bidi="el-GR"/>
        </w:rPr>
        <w:t>αποεπενδύσεις</w:t>
      </w:r>
      <w:proofErr w:type="spellEnd"/>
      <w:r w:rsidRPr="004F67C8">
        <w:rPr>
          <w:rFonts w:ascii="Effra Corp" w:eastAsia="Effra Corp" w:hAnsi="Effra Corp" w:cs="Effra Corp"/>
          <w:color w:val="000000"/>
          <w:sz w:val="20"/>
          <w:szCs w:val="20"/>
          <w:u w:val="none"/>
          <w:lang w:val="el-GR" w:bidi="el-GR"/>
        </w:rPr>
        <w:t xml:space="preserve"> του τρέχοντος έτους, τα αποτελέσματα του προηγούμενου έτους από τις </w:t>
      </w:r>
      <w:r w:rsidR="00F726C2">
        <w:rPr>
          <w:rFonts w:ascii="Effra Corp" w:eastAsia="Effra Corp" w:hAnsi="Effra Corp" w:cs="Effra Corp"/>
          <w:color w:val="000000"/>
          <w:sz w:val="20"/>
          <w:szCs w:val="20"/>
          <w:u w:val="none"/>
          <w:lang w:val="el-GR" w:bidi="el-GR"/>
        </w:rPr>
        <w:t>εταιρείες</w:t>
      </w:r>
      <w:r w:rsidR="00F726C2" w:rsidRPr="004F67C8" w:rsidDel="00F726C2">
        <w:rPr>
          <w:rFonts w:ascii="Effra Corp" w:eastAsia="Effra Corp" w:hAnsi="Effra Corp" w:cs="Effra Corp"/>
          <w:color w:val="000000"/>
          <w:sz w:val="20"/>
          <w:szCs w:val="20"/>
          <w:u w:val="none"/>
          <w:lang w:val="el-GR" w:bidi="el-GR"/>
        </w:rPr>
        <w:t xml:space="preserve"> </w:t>
      </w:r>
      <w:r w:rsidRPr="004F67C8">
        <w:rPr>
          <w:rFonts w:ascii="Effra Corp" w:eastAsia="Effra Corp" w:hAnsi="Effra Corp" w:cs="Effra Corp"/>
          <w:color w:val="000000"/>
          <w:sz w:val="20"/>
          <w:szCs w:val="20"/>
          <w:u w:val="none"/>
          <w:lang w:val="el-GR" w:bidi="el-GR"/>
        </w:rPr>
        <w:t xml:space="preserve">που </w:t>
      </w:r>
      <w:proofErr w:type="spellStart"/>
      <w:r w:rsidR="006C1300">
        <w:rPr>
          <w:rFonts w:ascii="Effra Corp" w:eastAsia="Effra Corp" w:hAnsi="Effra Corp" w:cs="Effra Corp"/>
          <w:color w:val="000000"/>
          <w:sz w:val="20"/>
          <w:szCs w:val="20"/>
          <w:u w:val="none"/>
          <w:lang w:val="el-GR" w:bidi="el-GR"/>
        </w:rPr>
        <w:t>αποεπενδύθηκαν</w:t>
      </w:r>
      <w:proofErr w:type="spellEnd"/>
      <w:r w:rsidRPr="004F67C8">
        <w:rPr>
          <w:rFonts w:ascii="Effra Corp" w:eastAsia="Effra Corp" w:hAnsi="Effra Corp" w:cs="Effra Corp"/>
          <w:color w:val="000000"/>
          <w:sz w:val="20"/>
          <w:szCs w:val="20"/>
          <w:u w:val="none"/>
          <w:lang w:val="el-GR" w:bidi="el-GR"/>
        </w:rPr>
        <w:t>, για την αντίστοιχη περίοδο κατά την οποία οι</w:t>
      </w:r>
      <w:r w:rsidR="00063FEC">
        <w:rPr>
          <w:rFonts w:ascii="Effra Corp" w:eastAsia="Effra Corp" w:hAnsi="Effra Corp" w:cs="Effra Corp"/>
          <w:color w:val="000000"/>
          <w:sz w:val="20"/>
          <w:szCs w:val="20"/>
          <w:u w:val="none"/>
          <w:lang w:val="el-GR" w:bidi="el-GR"/>
        </w:rPr>
        <w:t xml:space="preserve"> εν λόγω</w:t>
      </w:r>
      <w:r w:rsidRPr="004F67C8">
        <w:rPr>
          <w:rFonts w:ascii="Effra Corp" w:eastAsia="Effra Corp" w:hAnsi="Effra Corp" w:cs="Effra Corp"/>
          <w:color w:val="000000"/>
          <w:sz w:val="20"/>
          <w:szCs w:val="20"/>
          <w:u w:val="none"/>
          <w:lang w:val="el-GR" w:bidi="el-GR"/>
        </w:rPr>
        <w:t xml:space="preserve"> </w:t>
      </w:r>
      <w:r w:rsidR="00B40FE3">
        <w:rPr>
          <w:rFonts w:ascii="Effra Corp" w:eastAsia="Effra Corp" w:hAnsi="Effra Corp" w:cs="Effra Corp"/>
          <w:color w:val="000000"/>
          <w:sz w:val="20"/>
          <w:szCs w:val="20"/>
          <w:u w:val="none"/>
          <w:lang w:val="el-GR" w:bidi="el-GR"/>
        </w:rPr>
        <w:t>εταιρείες</w:t>
      </w:r>
      <w:r w:rsidR="00B40FE3" w:rsidRPr="004F67C8" w:rsidDel="00B40FE3">
        <w:rPr>
          <w:rFonts w:ascii="Effra Corp" w:eastAsia="Effra Corp" w:hAnsi="Effra Corp" w:cs="Effra Corp"/>
          <w:color w:val="000000"/>
          <w:sz w:val="20"/>
          <w:szCs w:val="20"/>
          <w:u w:val="none"/>
          <w:lang w:val="el-GR" w:bidi="el-GR"/>
        </w:rPr>
        <w:t xml:space="preserve"> </w:t>
      </w:r>
      <w:r w:rsidRPr="004F67C8">
        <w:rPr>
          <w:rFonts w:ascii="Effra Corp" w:eastAsia="Effra Corp" w:hAnsi="Effra Corp" w:cs="Effra Corp"/>
          <w:color w:val="000000"/>
          <w:sz w:val="20"/>
          <w:szCs w:val="20"/>
          <w:u w:val="none"/>
          <w:lang w:val="el-GR" w:bidi="el-GR"/>
        </w:rPr>
        <w:t xml:space="preserve">δεν είναι πλέον ενοποιημένες στο τρέχον έτος, συμπεριλαμβάνονται στα αποτελέσματα του τρέχοντος έτους για τον υπολογισμό της οργανικής αύξησης. Για τις </w:t>
      </w:r>
      <w:proofErr w:type="spellStart"/>
      <w:r w:rsidRPr="004F67C8">
        <w:rPr>
          <w:rFonts w:ascii="Effra Corp" w:eastAsia="Effra Corp" w:hAnsi="Effra Corp" w:cs="Effra Corp"/>
          <w:color w:val="000000"/>
          <w:sz w:val="20"/>
          <w:szCs w:val="20"/>
          <w:u w:val="none"/>
          <w:lang w:val="el-GR" w:bidi="el-GR"/>
        </w:rPr>
        <w:t>αποεπενδύσεις</w:t>
      </w:r>
      <w:proofErr w:type="spellEnd"/>
      <w:r w:rsidRPr="004F67C8">
        <w:rPr>
          <w:rFonts w:ascii="Effra Corp" w:eastAsia="Effra Corp" w:hAnsi="Effra Corp" w:cs="Effra Corp"/>
          <w:color w:val="000000"/>
          <w:sz w:val="20"/>
          <w:szCs w:val="20"/>
          <w:u w:val="none"/>
          <w:lang w:val="el-GR" w:bidi="el-GR"/>
        </w:rPr>
        <w:t xml:space="preserve"> του προηγούμενου έτους, τα αποτελέσματα του προηγούμενου έτους από τις </w:t>
      </w:r>
      <w:r w:rsidR="00CF5761">
        <w:rPr>
          <w:rFonts w:ascii="Effra Corp" w:eastAsia="Effra Corp" w:hAnsi="Effra Corp" w:cs="Effra Corp"/>
          <w:color w:val="000000"/>
          <w:sz w:val="20"/>
          <w:szCs w:val="20"/>
          <w:u w:val="none"/>
          <w:lang w:val="el-GR" w:bidi="el-GR"/>
        </w:rPr>
        <w:t>εταιρείες</w:t>
      </w:r>
      <w:r w:rsidR="00CF5761" w:rsidRPr="004F67C8" w:rsidDel="00CF5761">
        <w:rPr>
          <w:rFonts w:ascii="Effra Corp" w:eastAsia="Effra Corp" w:hAnsi="Effra Corp" w:cs="Effra Corp"/>
          <w:color w:val="000000"/>
          <w:sz w:val="20"/>
          <w:szCs w:val="20"/>
          <w:u w:val="none"/>
          <w:lang w:val="el-GR" w:bidi="el-GR"/>
        </w:rPr>
        <w:t xml:space="preserve"> </w:t>
      </w:r>
      <w:r w:rsidRPr="004F67C8">
        <w:rPr>
          <w:rFonts w:ascii="Effra Corp" w:eastAsia="Effra Corp" w:hAnsi="Effra Corp" w:cs="Effra Corp"/>
          <w:color w:val="000000"/>
          <w:sz w:val="20"/>
          <w:szCs w:val="20"/>
          <w:u w:val="none"/>
          <w:lang w:val="el-GR" w:bidi="el-GR"/>
        </w:rPr>
        <w:t xml:space="preserve">που </w:t>
      </w:r>
      <w:proofErr w:type="spellStart"/>
      <w:r w:rsidR="006C1300">
        <w:rPr>
          <w:rFonts w:ascii="Effra Corp" w:eastAsia="Effra Corp" w:hAnsi="Effra Corp" w:cs="Effra Corp"/>
          <w:color w:val="000000"/>
          <w:sz w:val="20"/>
          <w:szCs w:val="20"/>
          <w:u w:val="none"/>
          <w:lang w:val="el-GR" w:bidi="el-GR"/>
        </w:rPr>
        <w:t>αποεπενδύθηκαν</w:t>
      </w:r>
      <w:proofErr w:type="spellEnd"/>
      <w:r w:rsidRPr="004F67C8">
        <w:rPr>
          <w:rFonts w:ascii="Effra Corp" w:eastAsia="Effra Corp" w:hAnsi="Effra Corp" w:cs="Effra Corp"/>
          <w:color w:val="000000"/>
          <w:sz w:val="20"/>
          <w:szCs w:val="20"/>
          <w:u w:val="none"/>
          <w:lang w:val="el-GR" w:bidi="el-GR"/>
        </w:rPr>
        <w:t xml:space="preserve">, για την αντίστοιχη περίοδο κατά την οποία οι </w:t>
      </w:r>
      <w:r w:rsidR="00063FEC">
        <w:rPr>
          <w:rFonts w:ascii="Effra Corp" w:eastAsia="Effra Corp" w:hAnsi="Effra Corp" w:cs="Effra Corp"/>
          <w:color w:val="000000"/>
          <w:sz w:val="20"/>
          <w:szCs w:val="20"/>
          <w:u w:val="none"/>
          <w:lang w:val="el-GR" w:bidi="el-GR"/>
        </w:rPr>
        <w:t xml:space="preserve">εν λόγω </w:t>
      </w:r>
      <w:r w:rsidR="00CF5761">
        <w:rPr>
          <w:rFonts w:ascii="Effra Corp" w:eastAsia="Effra Corp" w:hAnsi="Effra Corp" w:cs="Effra Corp"/>
          <w:color w:val="000000"/>
          <w:sz w:val="20"/>
          <w:szCs w:val="20"/>
          <w:u w:val="none"/>
          <w:lang w:val="el-GR" w:bidi="el-GR"/>
        </w:rPr>
        <w:t>εταιρείες</w:t>
      </w:r>
      <w:r w:rsidR="00CF5761" w:rsidRPr="004F67C8" w:rsidDel="00CF5761">
        <w:rPr>
          <w:rFonts w:ascii="Effra Corp" w:eastAsia="Effra Corp" w:hAnsi="Effra Corp" w:cs="Effra Corp"/>
          <w:color w:val="000000"/>
          <w:sz w:val="20"/>
          <w:szCs w:val="20"/>
          <w:u w:val="none"/>
          <w:lang w:val="el-GR" w:bidi="el-GR"/>
        </w:rPr>
        <w:t xml:space="preserve"> </w:t>
      </w:r>
      <w:r w:rsidRPr="004F67C8">
        <w:rPr>
          <w:rFonts w:ascii="Effra Corp" w:eastAsia="Effra Corp" w:hAnsi="Effra Corp" w:cs="Effra Corp"/>
          <w:color w:val="000000"/>
          <w:sz w:val="20"/>
          <w:szCs w:val="20"/>
          <w:u w:val="none"/>
          <w:lang w:val="el-GR" w:bidi="el-GR"/>
        </w:rPr>
        <w:t xml:space="preserve">ήταν ενοποιημένες στο </w:t>
      </w:r>
      <w:r w:rsidR="00063FEC">
        <w:rPr>
          <w:rFonts w:ascii="Effra Corp" w:eastAsia="Effra Corp" w:hAnsi="Effra Corp" w:cs="Effra Corp"/>
          <w:color w:val="000000"/>
          <w:sz w:val="20"/>
          <w:szCs w:val="20"/>
          <w:u w:val="none"/>
          <w:lang w:val="el-GR" w:bidi="el-GR"/>
        </w:rPr>
        <w:t>προηγούμενο</w:t>
      </w:r>
      <w:r w:rsidR="00063FEC" w:rsidRPr="004F67C8">
        <w:rPr>
          <w:rFonts w:ascii="Effra Corp" w:eastAsia="Effra Corp" w:hAnsi="Effra Corp" w:cs="Effra Corp"/>
          <w:color w:val="000000"/>
          <w:sz w:val="20"/>
          <w:szCs w:val="20"/>
          <w:u w:val="none"/>
          <w:lang w:val="el-GR" w:bidi="el-GR"/>
        </w:rPr>
        <w:t xml:space="preserve"> </w:t>
      </w:r>
      <w:r w:rsidRPr="004F67C8">
        <w:rPr>
          <w:rFonts w:ascii="Effra Corp" w:eastAsia="Effra Corp" w:hAnsi="Effra Corp" w:cs="Effra Corp"/>
          <w:color w:val="000000"/>
          <w:sz w:val="20"/>
          <w:szCs w:val="20"/>
          <w:u w:val="none"/>
          <w:lang w:val="el-GR" w:bidi="el-GR"/>
        </w:rPr>
        <w:t xml:space="preserve">έτος, συμπεριλαμβάνονται στα αποτελέσματα του τρέχοντος έτους για τον υπολογισμό της οργανικής αύξησης. Τυχόν κέρδη ή ζημιές από </w:t>
      </w:r>
      <w:r w:rsidR="00063FEC" w:rsidRPr="004F67C8">
        <w:rPr>
          <w:rFonts w:ascii="Effra Corp" w:eastAsia="Effra Corp" w:hAnsi="Effra Corp" w:cs="Effra Corp"/>
          <w:color w:val="000000"/>
          <w:sz w:val="20"/>
          <w:szCs w:val="20"/>
          <w:u w:val="none"/>
          <w:lang w:val="el-GR" w:bidi="el-GR"/>
        </w:rPr>
        <w:t xml:space="preserve"> </w:t>
      </w:r>
      <w:r w:rsidRPr="004F67C8">
        <w:rPr>
          <w:rFonts w:ascii="Effra Corp" w:eastAsia="Effra Corp" w:hAnsi="Effra Corp" w:cs="Effra Corp"/>
          <w:color w:val="000000"/>
          <w:sz w:val="20"/>
          <w:szCs w:val="20"/>
          <w:u w:val="none"/>
          <w:lang w:val="el-GR" w:bidi="el-GR"/>
        </w:rPr>
        <w:t xml:space="preserve">τις </w:t>
      </w:r>
      <w:proofErr w:type="spellStart"/>
      <w:r w:rsidRPr="004F67C8">
        <w:rPr>
          <w:rFonts w:ascii="Effra Corp" w:eastAsia="Effra Corp" w:hAnsi="Effra Corp" w:cs="Effra Corp"/>
          <w:color w:val="000000"/>
          <w:sz w:val="20"/>
          <w:szCs w:val="20"/>
          <w:u w:val="none"/>
          <w:lang w:val="el-GR" w:bidi="el-GR"/>
        </w:rPr>
        <w:t>αποεπενδύσεις</w:t>
      </w:r>
      <w:proofErr w:type="spellEnd"/>
      <w:r w:rsidRPr="004F67C8">
        <w:rPr>
          <w:rFonts w:ascii="Effra Corp" w:eastAsia="Effra Corp" w:hAnsi="Effra Corp" w:cs="Effra Corp"/>
          <w:color w:val="000000"/>
          <w:sz w:val="20"/>
          <w:szCs w:val="20"/>
          <w:u w:val="none"/>
          <w:lang w:val="el-GR" w:bidi="el-GR"/>
        </w:rPr>
        <w:t xml:space="preserve"> εξαιρούνται από τον υπολογισμό της οργανικής αύξησης.</w:t>
      </w:r>
      <w:r w:rsidRPr="004F67C8">
        <w:rPr>
          <w:rFonts w:ascii="Effra Corp" w:eastAsia="Effra Corp" w:hAnsi="Effra Corp" w:cs="Effra Corp"/>
          <w:color w:val="000000"/>
          <w:sz w:val="20"/>
          <w:szCs w:val="20"/>
          <w:lang w:val="el-GR" w:bidi="el-GR"/>
        </w:rPr>
        <w:t xml:space="preserve"> </w:t>
      </w:r>
    </w:p>
    <w:p w14:paraId="46F15379" w14:textId="77777777" w:rsidR="00A44CC1" w:rsidRPr="00973EDF" w:rsidRDefault="00A44CC1" w:rsidP="003170B9">
      <w:pPr>
        <w:pStyle w:val="BodyTextIndent"/>
        <w:rPr>
          <w:rFonts w:ascii="Effra Corp" w:hAnsi="Effra Corp"/>
          <w:color w:val="000000"/>
          <w:sz w:val="20"/>
          <w:szCs w:val="20"/>
          <w:u w:val="none"/>
          <w:lang w:val="el-GR"/>
        </w:rPr>
      </w:pPr>
      <w:proofErr w:type="spellStart"/>
      <w:r w:rsidRPr="00973EDF">
        <w:rPr>
          <w:rFonts w:ascii="Effra Corp" w:eastAsia="Effra Corp" w:hAnsi="Effra Corp" w:cs="Effra Corp"/>
          <w:color w:val="000000"/>
          <w:sz w:val="20"/>
          <w:szCs w:val="20"/>
          <w:u w:val="none"/>
          <w:lang w:val="el-GR" w:bidi="el-GR"/>
        </w:rPr>
        <w:t>iii</w:t>
      </w:r>
      <w:proofErr w:type="spellEnd"/>
      <w:r w:rsidRPr="00973EDF">
        <w:rPr>
          <w:rFonts w:ascii="Effra Corp" w:eastAsia="Effra Corp" w:hAnsi="Effra Corp" w:cs="Effra Corp"/>
          <w:color w:val="000000"/>
          <w:sz w:val="20"/>
          <w:szCs w:val="20"/>
          <w:u w:val="none"/>
          <w:lang w:val="el-GR" w:bidi="el-GR"/>
        </w:rPr>
        <w:t xml:space="preserve">. Αναδιαρθρώσεις που οδηγούν σε </w:t>
      </w:r>
      <w:proofErr w:type="spellStart"/>
      <w:r w:rsidRPr="00973EDF">
        <w:rPr>
          <w:rFonts w:ascii="Effra Corp" w:eastAsia="Effra Corp" w:hAnsi="Effra Corp" w:cs="Effra Corp"/>
          <w:color w:val="000000"/>
          <w:sz w:val="20"/>
          <w:szCs w:val="20"/>
          <w:u w:val="none"/>
          <w:lang w:val="el-GR" w:bidi="el-GR"/>
        </w:rPr>
        <w:t>λογιστικοποίηση</w:t>
      </w:r>
      <w:proofErr w:type="spellEnd"/>
      <w:r w:rsidRPr="00973EDF">
        <w:rPr>
          <w:rFonts w:ascii="Effra Corp" w:eastAsia="Effra Corp" w:hAnsi="Effra Corp" w:cs="Effra Corp"/>
          <w:color w:val="000000"/>
          <w:sz w:val="20"/>
          <w:szCs w:val="20"/>
          <w:u w:val="none"/>
          <w:lang w:val="el-GR" w:bidi="el-GR"/>
        </w:rPr>
        <w:t xml:space="preserve"> με την μέθοδο της καθαρής θέσης: </w:t>
      </w:r>
    </w:p>
    <w:p w14:paraId="580AAC5A" w14:textId="5534C05C" w:rsidR="001B0CC7" w:rsidRDefault="00A44CC1" w:rsidP="00973EDF">
      <w:pPr>
        <w:pStyle w:val="BodyTextIndent"/>
        <w:spacing w:after="120"/>
        <w:rPr>
          <w:rFonts w:ascii="Effra Corp" w:eastAsia="Effra Corp" w:hAnsi="Effra Corp" w:cs="Effra Corp"/>
          <w:color w:val="000000"/>
          <w:sz w:val="20"/>
          <w:szCs w:val="20"/>
          <w:u w:val="none"/>
          <w:lang w:val="el-GR" w:bidi="el-GR"/>
        </w:rPr>
      </w:pPr>
      <w:r w:rsidRPr="004F67C8">
        <w:rPr>
          <w:rFonts w:ascii="Effra Corp" w:eastAsia="Effra Corp" w:hAnsi="Effra Corp" w:cs="Effra Corp"/>
          <w:color w:val="000000"/>
          <w:sz w:val="20"/>
          <w:szCs w:val="20"/>
          <w:u w:val="none"/>
          <w:lang w:val="el-GR" w:bidi="el-GR"/>
        </w:rPr>
        <w:t xml:space="preserve">Για αναδιαρθρώσεις του τρέχοντος έτους, στις οποίες ο Όμιλος διατηρεί είτε κοινό έλεγχο είτε σημαντική επιρροή στις εμπλεκόμενες οντότητες, με αποτέλεσμα </w:t>
      </w:r>
      <w:r w:rsidR="004C22DC">
        <w:rPr>
          <w:rFonts w:ascii="Effra Corp" w:eastAsia="Effra Corp" w:hAnsi="Effra Corp" w:cs="Effra Corp"/>
          <w:color w:val="000000"/>
          <w:sz w:val="20"/>
          <w:szCs w:val="20"/>
          <w:u w:val="none"/>
          <w:lang w:val="el-GR" w:bidi="el-GR"/>
        </w:rPr>
        <w:t xml:space="preserve">αυτές </w:t>
      </w:r>
      <w:r w:rsidRPr="004F67C8">
        <w:rPr>
          <w:rFonts w:ascii="Effra Corp" w:eastAsia="Effra Corp" w:hAnsi="Effra Corp" w:cs="Effra Corp"/>
          <w:color w:val="000000"/>
          <w:sz w:val="20"/>
          <w:szCs w:val="20"/>
          <w:u w:val="none"/>
          <w:lang w:val="el-GR" w:bidi="el-GR"/>
        </w:rPr>
        <w:t xml:space="preserve">να </w:t>
      </w:r>
      <w:proofErr w:type="spellStart"/>
      <w:r w:rsidRPr="004F67C8">
        <w:rPr>
          <w:rFonts w:ascii="Effra Corp" w:eastAsia="Effra Corp" w:hAnsi="Effra Corp" w:cs="Effra Corp"/>
          <w:color w:val="000000"/>
          <w:sz w:val="20"/>
          <w:szCs w:val="20"/>
          <w:u w:val="none"/>
          <w:lang w:val="el-GR" w:bidi="el-GR"/>
        </w:rPr>
        <w:t>αναταξινομούνται</w:t>
      </w:r>
      <w:proofErr w:type="spellEnd"/>
      <w:r w:rsidRPr="004F67C8">
        <w:rPr>
          <w:rFonts w:ascii="Effra Corp" w:eastAsia="Effra Corp" w:hAnsi="Effra Corp" w:cs="Effra Corp"/>
          <w:color w:val="000000"/>
          <w:sz w:val="20"/>
          <w:szCs w:val="20"/>
          <w:u w:val="none"/>
          <w:lang w:val="el-GR" w:bidi="el-GR"/>
        </w:rPr>
        <w:t xml:space="preserve"> από θυγατρικές ή κοιν</w:t>
      </w:r>
      <w:r w:rsidR="004C22DC">
        <w:rPr>
          <w:rFonts w:ascii="Effra Corp" w:eastAsia="Effra Corp" w:hAnsi="Effra Corp" w:cs="Effra Corp"/>
          <w:color w:val="000000"/>
          <w:sz w:val="20"/>
          <w:szCs w:val="20"/>
          <w:u w:val="none"/>
          <w:lang w:val="el-GR" w:bidi="el-GR"/>
        </w:rPr>
        <w:t>ά</w:t>
      </w:r>
      <w:r w:rsidRPr="004F67C8">
        <w:rPr>
          <w:rFonts w:ascii="Effra Corp" w:eastAsia="Effra Corp" w:hAnsi="Effra Corp" w:cs="Effra Corp"/>
          <w:color w:val="000000"/>
          <w:sz w:val="20"/>
          <w:szCs w:val="20"/>
          <w:u w:val="none"/>
          <w:lang w:val="el-GR" w:bidi="el-GR"/>
        </w:rPr>
        <w:t xml:space="preserve"> ελεγχόμενες </w:t>
      </w:r>
      <w:r w:rsidR="0049413A">
        <w:rPr>
          <w:rFonts w:ascii="Effra Corp" w:eastAsia="Effra Corp" w:hAnsi="Effra Corp" w:cs="Effra Corp"/>
          <w:color w:val="000000"/>
          <w:sz w:val="20"/>
          <w:szCs w:val="20"/>
          <w:u w:val="none"/>
          <w:lang w:val="el-GR" w:bidi="el-GR"/>
        </w:rPr>
        <w:t xml:space="preserve">επιχειρηματικές </w:t>
      </w:r>
      <w:r w:rsidRPr="004F67C8">
        <w:rPr>
          <w:rFonts w:ascii="Effra Corp" w:eastAsia="Effra Corp" w:hAnsi="Effra Corp" w:cs="Effra Corp"/>
          <w:color w:val="000000"/>
          <w:sz w:val="20"/>
          <w:szCs w:val="20"/>
          <w:u w:val="none"/>
          <w:lang w:val="el-GR" w:bidi="el-GR"/>
        </w:rPr>
        <w:t xml:space="preserve">δραστηριότητες σε κοινά ελεγχόμενες επιχειρηματικές οντότητες ή συγγενείς επιχειρήσεις και να </w:t>
      </w:r>
      <w:proofErr w:type="spellStart"/>
      <w:r w:rsidRPr="004F67C8">
        <w:rPr>
          <w:rFonts w:ascii="Effra Corp" w:eastAsia="Effra Corp" w:hAnsi="Effra Corp" w:cs="Effra Corp"/>
          <w:color w:val="000000"/>
          <w:sz w:val="20"/>
          <w:szCs w:val="20"/>
          <w:u w:val="none"/>
          <w:lang w:val="el-GR" w:bidi="el-GR"/>
        </w:rPr>
        <w:t>λογιστικοποιούνται</w:t>
      </w:r>
      <w:proofErr w:type="spellEnd"/>
      <w:r w:rsidRPr="004F67C8">
        <w:rPr>
          <w:rFonts w:ascii="Effra Corp" w:eastAsia="Effra Corp" w:hAnsi="Effra Corp" w:cs="Effra Corp"/>
          <w:color w:val="000000"/>
          <w:sz w:val="20"/>
          <w:szCs w:val="20"/>
          <w:u w:val="none"/>
          <w:lang w:val="el-GR" w:bidi="el-GR"/>
        </w:rPr>
        <w:t xml:space="preserve"> με τη μέθοδο της καθαρής θέσης, τα αποτελέσματα του τρέχοντος έτους από τις εν</w:t>
      </w:r>
      <w:r w:rsidR="004C22DC">
        <w:rPr>
          <w:rFonts w:ascii="Effra Corp" w:eastAsia="Effra Corp" w:hAnsi="Effra Corp" w:cs="Effra Corp"/>
          <w:color w:val="000000"/>
          <w:sz w:val="20"/>
          <w:szCs w:val="20"/>
          <w:u w:val="none"/>
          <w:lang w:val="el-GR" w:bidi="el-GR"/>
        </w:rPr>
        <w:t xml:space="preserve"> </w:t>
      </w:r>
      <w:r w:rsidRPr="004F67C8">
        <w:rPr>
          <w:rFonts w:ascii="Effra Corp" w:eastAsia="Effra Corp" w:hAnsi="Effra Corp" w:cs="Effra Corp"/>
          <w:color w:val="000000"/>
          <w:sz w:val="20"/>
          <w:szCs w:val="20"/>
          <w:u w:val="none"/>
          <w:lang w:val="el-GR" w:bidi="el-GR"/>
        </w:rPr>
        <w:t>λόγω οντότητες για την περίοδο κατά την οποία δεν ενοποι</w:t>
      </w:r>
      <w:r w:rsidR="0049413A">
        <w:rPr>
          <w:rFonts w:ascii="Effra Corp" w:eastAsia="Effra Corp" w:hAnsi="Effra Corp" w:cs="Effra Corp"/>
          <w:color w:val="000000"/>
          <w:sz w:val="20"/>
          <w:szCs w:val="20"/>
          <w:u w:val="none"/>
          <w:lang w:val="el-GR" w:bidi="el-GR"/>
        </w:rPr>
        <w:t>ούνται πλέον</w:t>
      </w:r>
      <w:r w:rsidR="004C22DC">
        <w:rPr>
          <w:rFonts w:ascii="Effra Corp" w:eastAsia="Effra Corp" w:hAnsi="Effra Corp" w:cs="Effra Corp"/>
          <w:color w:val="000000"/>
          <w:sz w:val="20"/>
          <w:szCs w:val="20"/>
          <w:u w:val="none"/>
          <w:lang w:val="el-GR" w:bidi="el-GR"/>
        </w:rPr>
        <w:t>,</w:t>
      </w:r>
      <w:r w:rsidRPr="004F67C8">
        <w:rPr>
          <w:rFonts w:ascii="Effra Corp" w:eastAsia="Effra Corp" w:hAnsi="Effra Corp" w:cs="Effra Corp"/>
          <w:color w:val="000000"/>
          <w:sz w:val="20"/>
          <w:szCs w:val="20"/>
          <w:u w:val="none"/>
          <w:lang w:val="el-GR" w:bidi="el-GR"/>
        </w:rPr>
        <w:t xml:space="preserve"> συμπεριλαμβάνονται στα αποτελέσματα του τρέχοντος έτους για τον υπολογισμό της οργανικής αύξησης. Για αντίστοιχες αναδιαρθρώσεις του προηγούμενους έτους, τα αποτελέσματα του τρέχοντος έτους από τις εμπλεκόμενες οντότητες, για την αντίστοιχη περίοδο του προηγούμενου έτους κατά την οποία οι οντότητες αυτές</w:t>
      </w:r>
      <w:r w:rsidR="004C22DC">
        <w:rPr>
          <w:rFonts w:ascii="Effra Corp" w:eastAsia="Effra Corp" w:hAnsi="Effra Corp" w:cs="Effra Corp"/>
          <w:color w:val="000000"/>
          <w:sz w:val="20"/>
          <w:szCs w:val="20"/>
          <w:u w:val="none"/>
          <w:lang w:val="el-GR" w:bidi="el-GR"/>
        </w:rPr>
        <w:t xml:space="preserve"> </w:t>
      </w:r>
      <w:r w:rsidR="0049413A">
        <w:rPr>
          <w:rFonts w:ascii="Effra Corp" w:eastAsia="Effra Corp" w:hAnsi="Effra Corp" w:cs="Effra Corp"/>
          <w:color w:val="000000"/>
          <w:sz w:val="20"/>
          <w:szCs w:val="20"/>
          <w:u w:val="none"/>
          <w:lang w:val="el-GR" w:bidi="el-GR"/>
        </w:rPr>
        <w:t>ενοποιούνταν</w:t>
      </w:r>
      <w:r w:rsidRPr="004F67C8">
        <w:rPr>
          <w:rFonts w:ascii="Effra Corp" w:eastAsia="Effra Corp" w:hAnsi="Effra Corp" w:cs="Effra Corp"/>
          <w:color w:val="000000"/>
          <w:sz w:val="20"/>
          <w:szCs w:val="20"/>
          <w:u w:val="none"/>
          <w:lang w:val="el-GR" w:bidi="el-GR"/>
        </w:rPr>
        <w:t>, συμπεριλαμβάνονται στα αποτελέσματα του τρέχοντος έτους για τον υπολογισμό της οργανικής αύξησης. Επιπλέον, το μερίδιο των αποτελεσμάτων αυτών των οντοτήτων στο τρέχον έτος, για την αντίστοιχη περίοδο όπως περιγράφεται παραπάνω, εξαιρείται από τον υπολογισμό της οργανικής αύξησης. Τυχόν κέρδη ή ζημιές από αυτές τις αναδιαρθρώσεις εξαιρούνται από τον υπολογισμό της οργανικής αύξησης.</w:t>
      </w:r>
    </w:p>
    <w:p w14:paraId="4657714F" w14:textId="560E8FDD" w:rsidR="00587C76" w:rsidRPr="00587C76" w:rsidRDefault="00587C76" w:rsidP="00587C76">
      <w:pPr>
        <w:jc w:val="both"/>
        <w:rPr>
          <w:rFonts w:ascii="Effra Corp" w:hAnsi="Effra Corp" w:cs="Arial"/>
          <w:color w:val="000000"/>
          <w:sz w:val="20"/>
          <w:szCs w:val="20"/>
          <w:lang w:val="el-GR"/>
        </w:rPr>
      </w:pPr>
      <w:r w:rsidRPr="00587C76">
        <w:rPr>
          <w:rFonts w:ascii="Effra Corp" w:eastAsia="Effra Corp" w:hAnsi="Effra Corp" w:cs="Arial"/>
          <w:color w:val="000000"/>
          <w:sz w:val="20"/>
          <w:szCs w:val="20"/>
          <w:lang w:val="el-GR" w:bidi="el-GR"/>
        </w:rPr>
        <w:t xml:space="preserve">Ο υπολογισμός της οργανικής αύξησης και η συμφωνία με τα </w:t>
      </w:r>
      <w:r w:rsidR="002A2582">
        <w:rPr>
          <w:rFonts w:ascii="Effra Corp" w:eastAsia="Effra Corp" w:hAnsi="Effra Corp" w:cs="Arial"/>
          <w:color w:val="000000"/>
          <w:sz w:val="20"/>
          <w:szCs w:val="20"/>
          <w:lang w:val="el-GR" w:bidi="el-GR"/>
        </w:rPr>
        <w:t xml:space="preserve">πλέον </w:t>
      </w:r>
      <w:r w:rsidRPr="00587C76">
        <w:rPr>
          <w:rFonts w:ascii="Effra Corp" w:eastAsia="Effra Corp" w:hAnsi="Effra Corp" w:cs="Arial"/>
          <w:color w:val="000000"/>
          <w:sz w:val="20"/>
          <w:szCs w:val="20"/>
          <w:lang w:val="el-GR" w:bidi="el-GR"/>
        </w:rPr>
        <w:t>ευθέως σχετιζόμενα μεγέθη, που υπολογίζονται σύμφωνα με τα Διεθνή Πρότυπα Χρηματοοικονομικής Αναφοράς, παρουσιάζονται στους παρακάτω πίνακες. Η οργανική αύξηση (%) υπολογίζεται διαιρώντας το ποσό στη γραμμή με τίτλο «Οργανική μεταβολή» με το ποσό στη σχετική γραμμή με τίτλο «2021</w:t>
      </w:r>
      <w:r w:rsidR="00524500">
        <w:rPr>
          <w:rFonts w:ascii="Effra Corp" w:eastAsia="Effra Corp" w:hAnsi="Effra Corp" w:cs="Arial"/>
          <w:color w:val="000000"/>
          <w:sz w:val="20"/>
          <w:szCs w:val="20"/>
          <w:lang w:val="el-GR" w:bidi="el-GR"/>
        </w:rPr>
        <w:t xml:space="preserve"> δημοσιευμένα μεγέθη</w:t>
      </w:r>
      <w:r w:rsidRPr="00587C76">
        <w:rPr>
          <w:rFonts w:ascii="Effra Corp" w:eastAsia="Effra Corp" w:hAnsi="Effra Corp" w:cs="Arial"/>
          <w:color w:val="000000"/>
          <w:sz w:val="20"/>
          <w:szCs w:val="20"/>
          <w:lang w:val="el-GR" w:bidi="el-GR"/>
        </w:rPr>
        <w:t>» ή όπου εμφανίζεται, «2021</w:t>
      </w:r>
      <w:r w:rsidR="00982141">
        <w:rPr>
          <w:rFonts w:ascii="Effra Corp" w:eastAsia="Effra Corp" w:hAnsi="Effra Corp" w:cs="Arial"/>
          <w:color w:val="000000"/>
          <w:sz w:val="20"/>
          <w:szCs w:val="20"/>
          <w:lang w:val="el-GR" w:bidi="el-GR"/>
        </w:rPr>
        <w:t xml:space="preserve"> </w:t>
      </w:r>
      <w:r w:rsidR="00524500">
        <w:rPr>
          <w:rFonts w:ascii="Effra Corp" w:eastAsia="Effra Corp" w:hAnsi="Effra Corp" w:cs="Arial"/>
          <w:color w:val="000000"/>
          <w:sz w:val="20"/>
          <w:szCs w:val="20"/>
          <w:lang w:val="el-GR" w:bidi="el-GR"/>
        </w:rPr>
        <w:t>προσαρμοσμένα μεγέθη</w:t>
      </w:r>
      <w:r w:rsidRPr="00587C76">
        <w:rPr>
          <w:rFonts w:ascii="Effra Corp" w:eastAsia="Effra Corp" w:hAnsi="Effra Corp" w:cs="Arial"/>
          <w:color w:val="000000"/>
          <w:sz w:val="20"/>
          <w:szCs w:val="20"/>
          <w:lang w:val="el-GR" w:bidi="el-GR"/>
        </w:rPr>
        <w:t>».</w:t>
      </w:r>
    </w:p>
    <w:p w14:paraId="2E540C40" w14:textId="77777777" w:rsidR="00587C76" w:rsidRDefault="00587C76" w:rsidP="009569DD">
      <w:pPr>
        <w:pStyle w:val="BodyTextIndent"/>
        <w:spacing w:after="60"/>
        <w:rPr>
          <w:rFonts w:ascii="Effra Corp" w:eastAsia="Effra Corp" w:hAnsi="Effra Corp" w:cs="Effra Corp"/>
          <w:color w:val="000000"/>
          <w:sz w:val="20"/>
          <w:szCs w:val="20"/>
          <w:u w:val="none"/>
          <w:lang w:val="el-GR" w:bidi="el-GR"/>
        </w:rPr>
      </w:pPr>
    </w:p>
    <w:p w14:paraId="477E014B" w14:textId="4BE97D8F" w:rsidR="00587C76" w:rsidRDefault="00587C76" w:rsidP="00587C76">
      <w:pPr>
        <w:spacing w:after="120"/>
        <w:jc w:val="both"/>
        <w:rPr>
          <w:rFonts w:ascii="Effra Corp" w:hAnsi="Effra Corp" w:cs="Arial"/>
          <w:b/>
          <w:bCs/>
          <w:color w:val="000000"/>
          <w:sz w:val="21"/>
          <w:szCs w:val="21"/>
          <w:lang w:val="el-GR"/>
        </w:rPr>
      </w:pPr>
      <w:r>
        <w:rPr>
          <w:rFonts w:ascii="Effra Corp" w:hAnsi="Effra Corp" w:cs="Arial"/>
          <w:b/>
          <w:bCs/>
          <w:color w:val="000000"/>
          <w:sz w:val="21"/>
          <w:szCs w:val="21"/>
          <w:lang w:val="el-GR"/>
        </w:rPr>
        <w:t>Συμφωνία μεγεθών οργανικής αύξησης</w:t>
      </w:r>
    </w:p>
    <w:p w14:paraId="5782BB0D" w14:textId="77777777" w:rsidR="00BE749F" w:rsidRPr="00587C76" w:rsidRDefault="00BE749F" w:rsidP="00587C76">
      <w:pPr>
        <w:spacing w:after="120"/>
        <w:jc w:val="both"/>
        <w:rPr>
          <w:rFonts w:ascii="Effra Corp" w:hAnsi="Effra Corp" w:cs="Arial"/>
          <w:b/>
          <w:bCs/>
          <w:color w:val="000000"/>
          <w:sz w:val="21"/>
          <w:szCs w:val="21"/>
          <w:lang w:val="el-GR"/>
        </w:rPr>
      </w:pPr>
    </w:p>
    <w:tbl>
      <w:tblPr>
        <w:tblW w:w="981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98"/>
        <w:gridCol w:w="1260"/>
        <w:gridCol w:w="1620"/>
        <w:gridCol w:w="1800"/>
        <w:gridCol w:w="1533"/>
      </w:tblGrid>
      <w:tr w:rsidR="00587C76" w:rsidRPr="008C61C4" w14:paraId="6898B14D" w14:textId="77777777" w:rsidTr="00F73AC4">
        <w:trPr>
          <w:trHeight w:val="20"/>
        </w:trPr>
        <w:tc>
          <w:tcPr>
            <w:tcW w:w="3598" w:type="dxa"/>
            <w:tcBorders>
              <w:top w:val="nil"/>
              <w:left w:val="nil"/>
              <w:bottom w:val="nil"/>
              <w:right w:val="nil"/>
            </w:tcBorders>
            <w:tcMar>
              <w:top w:w="0" w:type="dxa"/>
              <w:left w:w="60" w:type="dxa"/>
              <w:bottom w:w="0" w:type="dxa"/>
              <w:right w:w="60" w:type="dxa"/>
            </w:tcMar>
            <w:vAlign w:val="bottom"/>
          </w:tcPr>
          <w:p w14:paraId="48047608" w14:textId="77777777" w:rsidR="00587C76" w:rsidRPr="00587C76" w:rsidRDefault="00587C76" w:rsidP="007B6871">
            <w:pPr>
              <w:pStyle w:val="DMETW1139BIPOrganicReconciliation"/>
              <w:rPr>
                <w:sz w:val="21"/>
                <w:szCs w:val="21"/>
              </w:rPr>
            </w:pPr>
            <w:bookmarkStart w:id="4" w:name="DOC_TBL00001_1_1"/>
            <w:bookmarkEnd w:id="4"/>
          </w:p>
        </w:tc>
        <w:tc>
          <w:tcPr>
            <w:tcW w:w="6213" w:type="dxa"/>
            <w:gridSpan w:val="4"/>
            <w:tcBorders>
              <w:top w:val="single" w:sz="4" w:space="0" w:color="000000"/>
              <w:left w:val="nil"/>
              <w:bottom w:val="single" w:sz="4" w:space="0" w:color="000000"/>
              <w:right w:val="nil"/>
            </w:tcBorders>
            <w:shd w:val="solid" w:color="DADADA" w:fill="FFFFFF"/>
            <w:tcMar>
              <w:top w:w="0" w:type="dxa"/>
              <w:left w:w="60" w:type="dxa"/>
              <w:bottom w:w="0" w:type="dxa"/>
              <w:right w:w="60" w:type="dxa"/>
            </w:tcMar>
            <w:vAlign w:val="bottom"/>
          </w:tcPr>
          <w:p w14:paraId="6E30FE4D" w14:textId="3BEEFC79" w:rsidR="00587C76" w:rsidRPr="008C61C4" w:rsidRDefault="007A7903" w:rsidP="007B6871">
            <w:pPr>
              <w:pStyle w:val="DMETW1139BIPOrganicReconciliation"/>
              <w:jc w:val="center"/>
              <w:rPr>
                <w:b/>
                <w:sz w:val="21"/>
                <w:szCs w:val="21"/>
                <w:lang w:val="en-GB"/>
              </w:rPr>
            </w:pPr>
            <w:r>
              <w:rPr>
                <w:b/>
                <w:sz w:val="21"/>
                <w:szCs w:val="21"/>
              </w:rPr>
              <w:t>Α’ τρίμηνο</w:t>
            </w:r>
            <w:r w:rsidR="00587C76" w:rsidRPr="008C61C4">
              <w:rPr>
                <w:b/>
                <w:sz w:val="21"/>
                <w:szCs w:val="21"/>
                <w:lang w:val="en-GB"/>
              </w:rPr>
              <w:t xml:space="preserve"> 2022</w:t>
            </w:r>
          </w:p>
        </w:tc>
      </w:tr>
      <w:tr w:rsidR="00F73AC4" w:rsidRPr="008C61C4" w14:paraId="43FF2C0F" w14:textId="77777777" w:rsidTr="00F73AC4">
        <w:trPr>
          <w:trHeight w:val="20"/>
        </w:trPr>
        <w:tc>
          <w:tcPr>
            <w:tcW w:w="3598" w:type="dxa"/>
            <w:tcBorders>
              <w:top w:val="nil"/>
              <w:left w:val="nil"/>
              <w:bottom w:val="nil"/>
              <w:right w:val="nil"/>
            </w:tcBorders>
            <w:tcMar>
              <w:top w:w="0" w:type="dxa"/>
              <w:left w:w="60" w:type="dxa"/>
              <w:bottom w:w="0" w:type="dxa"/>
              <w:right w:w="60" w:type="dxa"/>
            </w:tcMar>
            <w:vAlign w:val="bottom"/>
          </w:tcPr>
          <w:p w14:paraId="44D6D560" w14:textId="38789872" w:rsidR="00587C76" w:rsidRPr="007A7903" w:rsidRDefault="00587C76" w:rsidP="007B6871">
            <w:pPr>
              <w:pStyle w:val="DMETW1139BIPOrganicReconciliation"/>
              <w:rPr>
                <w:b/>
                <w:sz w:val="21"/>
                <w:szCs w:val="21"/>
              </w:rPr>
            </w:pPr>
            <w:r>
              <w:rPr>
                <w:b/>
                <w:sz w:val="21"/>
                <w:szCs w:val="21"/>
              </w:rPr>
              <w:t>Όγκος πωλήσεων</w:t>
            </w:r>
            <w:r w:rsidRPr="007A7903">
              <w:rPr>
                <w:b/>
                <w:sz w:val="21"/>
                <w:szCs w:val="21"/>
              </w:rPr>
              <w:t xml:space="preserve"> (</w:t>
            </w:r>
            <w:r w:rsidR="007A7903">
              <w:rPr>
                <w:b/>
                <w:sz w:val="21"/>
                <w:szCs w:val="21"/>
              </w:rPr>
              <w:t>εκατ. κιβώτια</w:t>
            </w:r>
            <w:r w:rsidRPr="007A7903">
              <w:rPr>
                <w:b/>
                <w:sz w:val="21"/>
                <w:szCs w:val="21"/>
              </w:rPr>
              <w:t>)</w:t>
            </w:r>
          </w:p>
        </w:tc>
        <w:tc>
          <w:tcPr>
            <w:tcW w:w="1260" w:type="dxa"/>
            <w:tcBorders>
              <w:top w:val="nil"/>
              <w:left w:val="nil"/>
              <w:bottom w:val="nil"/>
              <w:right w:val="nil"/>
            </w:tcBorders>
            <w:shd w:val="solid" w:color="D9D9D9" w:fill="FFFFFF"/>
            <w:tcMar>
              <w:top w:w="0" w:type="dxa"/>
              <w:left w:w="60" w:type="dxa"/>
              <w:bottom w:w="0" w:type="dxa"/>
              <w:right w:w="60" w:type="dxa"/>
            </w:tcMar>
            <w:vAlign w:val="center"/>
          </w:tcPr>
          <w:p w14:paraId="00C4AE21" w14:textId="4C91D5BE" w:rsidR="00587C76" w:rsidRPr="007A7903" w:rsidRDefault="007A7903" w:rsidP="00F73AC4">
            <w:pPr>
              <w:pStyle w:val="DMETW1139BIPOrganicReconciliation"/>
              <w:jc w:val="right"/>
              <w:rPr>
                <w:b/>
                <w:sz w:val="21"/>
                <w:szCs w:val="21"/>
              </w:rPr>
            </w:pPr>
            <w:r>
              <w:rPr>
                <w:b/>
                <w:sz w:val="21"/>
                <w:szCs w:val="21"/>
              </w:rPr>
              <w:t>Όμιλος</w:t>
            </w:r>
          </w:p>
        </w:tc>
        <w:tc>
          <w:tcPr>
            <w:tcW w:w="1620" w:type="dxa"/>
            <w:tcBorders>
              <w:top w:val="nil"/>
              <w:left w:val="nil"/>
              <w:bottom w:val="nil"/>
              <w:right w:val="nil"/>
            </w:tcBorders>
            <w:shd w:val="solid" w:color="D9D9D9" w:fill="FFFFFF"/>
            <w:tcMar>
              <w:top w:w="0" w:type="dxa"/>
              <w:left w:w="60" w:type="dxa"/>
              <w:bottom w:w="0" w:type="dxa"/>
              <w:right w:w="60" w:type="dxa"/>
            </w:tcMar>
            <w:vAlign w:val="center"/>
          </w:tcPr>
          <w:p w14:paraId="0A21CEA5" w14:textId="77777777" w:rsidR="00587C76" w:rsidRDefault="007A7903" w:rsidP="007B6871">
            <w:pPr>
              <w:pStyle w:val="DMETW1139BIPOrganicReconciliation"/>
              <w:jc w:val="right"/>
              <w:rPr>
                <w:b/>
                <w:sz w:val="21"/>
                <w:szCs w:val="21"/>
              </w:rPr>
            </w:pPr>
            <w:r>
              <w:rPr>
                <w:b/>
                <w:sz w:val="21"/>
                <w:szCs w:val="21"/>
              </w:rPr>
              <w:t>Αναπτυγμένες</w:t>
            </w:r>
          </w:p>
          <w:p w14:paraId="1458CAD5" w14:textId="5D4866BA" w:rsidR="00F73AC4" w:rsidRPr="007A7903" w:rsidRDefault="00F73AC4" w:rsidP="007B6871">
            <w:pPr>
              <w:pStyle w:val="DMETW1139BIPOrganicReconciliation"/>
              <w:jc w:val="right"/>
              <w:rPr>
                <w:b/>
                <w:sz w:val="21"/>
                <w:szCs w:val="21"/>
              </w:rPr>
            </w:pPr>
            <w:r>
              <w:rPr>
                <w:b/>
                <w:sz w:val="21"/>
                <w:szCs w:val="21"/>
              </w:rPr>
              <w:t>αγορές</w:t>
            </w:r>
          </w:p>
        </w:tc>
        <w:tc>
          <w:tcPr>
            <w:tcW w:w="1800" w:type="dxa"/>
            <w:tcBorders>
              <w:top w:val="nil"/>
              <w:left w:val="nil"/>
              <w:bottom w:val="nil"/>
              <w:right w:val="nil"/>
            </w:tcBorders>
            <w:shd w:val="solid" w:color="D9D9D9" w:fill="FFFFFF"/>
            <w:tcMar>
              <w:top w:w="0" w:type="dxa"/>
              <w:left w:w="60" w:type="dxa"/>
              <w:bottom w:w="0" w:type="dxa"/>
              <w:right w:w="60" w:type="dxa"/>
            </w:tcMar>
            <w:vAlign w:val="center"/>
          </w:tcPr>
          <w:p w14:paraId="2D6A129E" w14:textId="2440E40F" w:rsidR="00587C76" w:rsidRPr="00F73AC4" w:rsidRDefault="00F73AC4" w:rsidP="007B6871">
            <w:pPr>
              <w:pStyle w:val="DMETW1139BIPOrganicReconciliation"/>
              <w:jc w:val="right"/>
              <w:rPr>
                <w:b/>
                <w:sz w:val="21"/>
                <w:szCs w:val="21"/>
              </w:rPr>
            </w:pPr>
            <w:r>
              <w:rPr>
                <w:b/>
                <w:sz w:val="21"/>
                <w:szCs w:val="21"/>
              </w:rPr>
              <w:t>Αναπτυσσόμενες αγορές</w:t>
            </w:r>
          </w:p>
        </w:tc>
        <w:tc>
          <w:tcPr>
            <w:tcW w:w="1533" w:type="dxa"/>
            <w:tcBorders>
              <w:top w:val="nil"/>
              <w:left w:val="nil"/>
              <w:bottom w:val="nil"/>
              <w:right w:val="nil"/>
            </w:tcBorders>
            <w:shd w:val="solid" w:color="D9D9D9" w:fill="FFFFFF"/>
            <w:tcMar>
              <w:top w:w="0" w:type="dxa"/>
              <w:left w:w="60" w:type="dxa"/>
              <w:bottom w:w="0" w:type="dxa"/>
              <w:right w:w="60" w:type="dxa"/>
            </w:tcMar>
            <w:vAlign w:val="center"/>
          </w:tcPr>
          <w:p w14:paraId="5958F015" w14:textId="0083074B" w:rsidR="00587C76" w:rsidRPr="00F73AC4" w:rsidRDefault="00F73AC4" w:rsidP="007B6871">
            <w:pPr>
              <w:pStyle w:val="DMETW1139BIPOrganicReconciliation"/>
              <w:jc w:val="right"/>
              <w:rPr>
                <w:b/>
                <w:sz w:val="21"/>
                <w:szCs w:val="21"/>
              </w:rPr>
            </w:pPr>
            <w:r>
              <w:rPr>
                <w:b/>
                <w:sz w:val="21"/>
                <w:szCs w:val="21"/>
              </w:rPr>
              <w:t>Αναδυόμενες αγορές</w:t>
            </w:r>
          </w:p>
        </w:tc>
      </w:tr>
      <w:tr w:rsidR="00587C76" w:rsidRPr="008C61C4" w14:paraId="6B44E27B" w14:textId="77777777" w:rsidTr="00F73AC4">
        <w:trPr>
          <w:trHeight w:val="20"/>
        </w:trPr>
        <w:tc>
          <w:tcPr>
            <w:tcW w:w="3598" w:type="dxa"/>
            <w:tcBorders>
              <w:top w:val="nil"/>
              <w:left w:val="nil"/>
              <w:bottom w:val="nil"/>
              <w:right w:val="nil"/>
            </w:tcBorders>
            <w:tcMar>
              <w:top w:w="0" w:type="dxa"/>
              <w:left w:w="60" w:type="dxa"/>
              <w:bottom w:w="0" w:type="dxa"/>
              <w:right w:w="60" w:type="dxa"/>
            </w:tcMar>
            <w:vAlign w:val="bottom"/>
          </w:tcPr>
          <w:p w14:paraId="2F4A161D" w14:textId="79F99FDC" w:rsidR="00587C76" w:rsidRPr="007A7903" w:rsidRDefault="00587C76" w:rsidP="007B6871">
            <w:pPr>
              <w:pStyle w:val="DMETW1139BIPOrganicReconciliation"/>
              <w:rPr>
                <w:sz w:val="21"/>
                <w:szCs w:val="21"/>
              </w:rPr>
            </w:pPr>
            <w:r w:rsidRPr="008C61C4">
              <w:rPr>
                <w:sz w:val="21"/>
                <w:szCs w:val="21"/>
                <w:lang w:val="en-GB"/>
              </w:rPr>
              <w:t xml:space="preserve">2021 </w:t>
            </w:r>
            <w:r w:rsidR="007A7903">
              <w:rPr>
                <w:sz w:val="21"/>
                <w:szCs w:val="21"/>
              </w:rPr>
              <w:t>δημοσιευμένα</w:t>
            </w:r>
            <w:r w:rsidR="004D75B0">
              <w:rPr>
                <w:sz w:val="21"/>
                <w:szCs w:val="21"/>
              </w:rPr>
              <w:t xml:space="preserve"> μεγέθη</w:t>
            </w:r>
          </w:p>
        </w:tc>
        <w:tc>
          <w:tcPr>
            <w:tcW w:w="1260" w:type="dxa"/>
            <w:tcBorders>
              <w:top w:val="nil"/>
              <w:left w:val="nil"/>
              <w:bottom w:val="nil"/>
              <w:right w:val="nil"/>
            </w:tcBorders>
            <w:tcMar>
              <w:top w:w="0" w:type="dxa"/>
              <w:left w:w="0" w:type="dxa"/>
              <w:bottom w:w="0" w:type="dxa"/>
              <w:right w:w="0" w:type="dxa"/>
            </w:tcMar>
            <w:vAlign w:val="bottom"/>
          </w:tcPr>
          <w:p w14:paraId="483F2822" w14:textId="258ABD4D" w:rsidR="00587C76" w:rsidRPr="008C61C4" w:rsidRDefault="00587C76" w:rsidP="007B6871">
            <w:pPr>
              <w:pStyle w:val="DMETW1139BIPOrganicReconciliation"/>
              <w:tabs>
                <w:tab w:val="decimal" w:pos="1452"/>
              </w:tabs>
              <w:jc w:val="right"/>
              <w:rPr>
                <w:b/>
                <w:sz w:val="21"/>
                <w:szCs w:val="21"/>
                <w:lang w:val="en-GB"/>
              </w:rPr>
            </w:pPr>
            <w:r w:rsidRPr="008C61C4">
              <w:rPr>
                <w:b/>
                <w:sz w:val="21"/>
                <w:szCs w:val="21"/>
                <w:lang w:val="en-GB"/>
              </w:rPr>
              <w:t xml:space="preserve"> 490</w:t>
            </w:r>
            <w:r w:rsidR="005A53DC">
              <w:rPr>
                <w:b/>
                <w:sz w:val="21"/>
                <w:szCs w:val="21"/>
              </w:rPr>
              <w:t>,</w:t>
            </w:r>
            <w:r w:rsidRPr="008C61C4">
              <w:rPr>
                <w:b/>
                <w:sz w:val="21"/>
                <w:szCs w:val="21"/>
                <w:lang w:val="en-GB"/>
              </w:rPr>
              <w:t>8</w:t>
            </w:r>
          </w:p>
        </w:tc>
        <w:tc>
          <w:tcPr>
            <w:tcW w:w="1620" w:type="dxa"/>
            <w:tcBorders>
              <w:top w:val="nil"/>
              <w:left w:val="nil"/>
              <w:bottom w:val="nil"/>
              <w:right w:val="nil"/>
            </w:tcBorders>
            <w:tcMar>
              <w:top w:w="0" w:type="dxa"/>
              <w:left w:w="0" w:type="dxa"/>
              <w:bottom w:w="0" w:type="dxa"/>
              <w:right w:w="0" w:type="dxa"/>
            </w:tcMar>
            <w:vAlign w:val="bottom"/>
          </w:tcPr>
          <w:p w14:paraId="39F372C6" w14:textId="06082AAB" w:rsidR="00587C76" w:rsidRPr="008C61C4" w:rsidRDefault="00587C76" w:rsidP="007B6871">
            <w:pPr>
              <w:pStyle w:val="DMETW1139BIPOrganicReconciliation"/>
              <w:tabs>
                <w:tab w:val="decimal" w:pos="1452"/>
              </w:tabs>
              <w:jc w:val="right"/>
              <w:rPr>
                <w:sz w:val="21"/>
                <w:szCs w:val="21"/>
                <w:lang w:val="en-GB"/>
              </w:rPr>
            </w:pPr>
            <w:r w:rsidRPr="008C61C4">
              <w:rPr>
                <w:sz w:val="21"/>
                <w:szCs w:val="21"/>
                <w:lang w:val="en-GB"/>
              </w:rPr>
              <w:t xml:space="preserve"> 117</w:t>
            </w:r>
            <w:r w:rsidR="005A53DC">
              <w:rPr>
                <w:sz w:val="21"/>
                <w:szCs w:val="21"/>
              </w:rPr>
              <w:t>,</w:t>
            </w:r>
            <w:r w:rsidRPr="008C61C4">
              <w:rPr>
                <w:sz w:val="21"/>
                <w:szCs w:val="21"/>
                <w:lang w:val="en-GB"/>
              </w:rPr>
              <w:t>8</w:t>
            </w:r>
          </w:p>
        </w:tc>
        <w:tc>
          <w:tcPr>
            <w:tcW w:w="1800" w:type="dxa"/>
            <w:tcBorders>
              <w:top w:val="nil"/>
              <w:left w:val="nil"/>
              <w:bottom w:val="nil"/>
              <w:right w:val="nil"/>
            </w:tcBorders>
            <w:tcMar>
              <w:top w:w="0" w:type="dxa"/>
              <w:left w:w="0" w:type="dxa"/>
              <w:bottom w:w="0" w:type="dxa"/>
              <w:right w:w="0" w:type="dxa"/>
            </w:tcMar>
            <w:vAlign w:val="bottom"/>
          </w:tcPr>
          <w:p w14:paraId="4B86E847" w14:textId="445C42C5" w:rsidR="00587C76" w:rsidRPr="008C61C4" w:rsidRDefault="00587C76" w:rsidP="007B6871">
            <w:pPr>
              <w:pStyle w:val="DMETW1139BIPOrganicReconciliation"/>
              <w:tabs>
                <w:tab w:val="decimal" w:pos="1482"/>
              </w:tabs>
              <w:jc w:val="right"/>
              <w:rPr>
                <w:sz w:val="21"/>
                <w:szCs w:val="21"/>
                <w:lang w:val="en-GB"/>
              </w:rPr>
            </w:pPr>
            <w:r w:rsidRPr="008C61C4">
              <w:rPr>
                <w:sz w:val="21"/>
                <w:szCs w:val="21"/>
                <w:lang w:val="en-GB"/>
              </w:rPr>
              <w:t xml:space="preserve"> 80</w:t>
            </w:r>
            <w:r w:rsidR="005A53DC">
              <w:rPr>
                <w:sz w:val="21"/>
                <w:szCs w:val="21"/>
              </w:rPr>
              <w:t>,</w:t>
            </w:r>
            <w:r w:rsidRPr="008C61C4">
              <w:rPr>
                <w:sz w:val="21"/>
                <w:szCs w:val="21"/>
                <w:lang w:val="en-GB"/>
              </w:rPr>
              <w:t>9</w:t>
            </w:r>
          </w:p>
        </w:tc>
        <w:tc>
          <w:tcPr>
            <w:tcW w:w="1533" w:type="dxa"/>
            <w:tcBorders>
              <w:top w:val="nil"/>
              <w:left w:val="nil"/>
              <w:bottom w:val="nil"/>
              <w:right w:val="nil"/>
            </w:tcBorders>
            <w:tcMar>
              <w:top w:w="0" w:type="dxa"/>
              <w:left w:w="0" w:type="dxa"/>
              <w:bottom w:w="0" w:type="dxa"/>
              <w:right w:w="0" w:type="dxa"/>
            </w:tcMar>
            <w:vAlign w:val="bottom"/>
          </w:tcPr>
          <w:p w14:paraId="1189B72D" w14:textId="14D6E5CE" w:rsidR="00587C76" w:rsidRPr="008C61C4" w:rsidRDefault="00587C76" w:rsidP="007B6871">
            <w:pPr>
              <w:pStyle w:val="DMETW1139BIPOrganicReconciliation"/>
              <w:tabs>
                <w:tab w:val="decimal" w:pos="1482"/>
              </w:tabs>
              <w:jc w:val="right"/>
              <w:rPr>
                <w:sz w:val="21"/>
                <w:szCs w:val="21"/>
                <w:lang w:val="en-GB"/>
              </w:rPr>
            </w:pPr>
            <w:r w:rsidRPr="008C61C4">
              <w:rPr>
                <w:sz w:val="21"/>
                <w:szCs w:val="21"/>
                <w:lang w:val="en-GB"/>
              </w:rPr>
              <w:t xml:space="preserve"> 292</w:t>
            </w:r>
            <w:r w:rsidR="005A53DC">
              <w:rPr>
                <w:sz w:val="21"/>
                <w:szCs w:val="21"/>
              </w:rPr>
              <w:t>,</w:t>
            </w:r>
            <w:r w:rsidRPr="008C61C4">
              <w:rPr>
                <w:sz w:val="21"/>
                <w:szCs w:val="21"/>
                <w:lang w:val="en-GB"/>
              </w:rPr>
              <w:t>1</w:t>
            </w:r>
          </w:p>
        </w:tc>
      </w:tr>
      <w:tr w:rsidR="00587C76" w:rsidRPr="008C61C4" w14:paraId="7A690388" w14:textId="77777777" w:rsidTr="00F73AC4">
        <w:trPr>
          <w:trHeight w:val="20"/>
        </w:trPr>
        <w:tc>
          <w:tcPr>
            <w:tcW w:w="3598" w:type="dxa"/>
            <w:tcBorders>
              <w:top w:val="nil"/>
              <w:left w:val="nil"/>
              <w:bottom w:val="nil"/>
              <w:right w:val="nil"/>
            </w:tcBorders>
            <w:tcMar>
              <w:top w:w="0" w:type="dxa"/>
              <w:left w:w="60" w:type="dxa"/>
              <w:bottom w:w="0" w:type="dxa"/>
              <w:right w:w="60" w:type="dxa"/>
            </w:tcMar>
            <w:vAlign w:val="bottom"/>
          </w:tcPr>
          <w:p w14:paraId="4CB17E2C" w14:textId="300E11F0" w:rsidR="00587C76" w:rsidRPr="007A7903" w:rsidRDefault="007A7903" w:rsidP="007B6871">
            <w:pPr>
              <w:pStyle w:val="DMETW1139BIPOrganicReconciliation"/>
              <w:rPr>
                <w:sz w:val="21"/>
                <w:szCs w:val="21"/>
              </w:rPr>
            </w:pPr>
            <w:r>
              <w:rPr>
                <w:sz w:val="21"/>
                <w:szCs w:val="21"/>
              </w:rPr>
              <w:t>Επίδραση περιοχής ενοποίησης</w:t>
            </w:r>
          </w:p>
        </w:tc>
        <w:tc>
          <w:tcPr>
            <w:tcW w:w="1260" w:type="dxa"/>
            <w:tcBorders>
              <w:top w:val="nil"/>
              <w:left w:val="nil"/>
              <w:bottom w:val="nil"/>
              <w:right w:val="nil"/>
            </w:tcBorders>
            <w:tcMar>
              <w:top w:w="0" w:type="dxa"/>
              <w:left w:w="0" w:type="dxa"/>
              <w:bottom w:w="0" w:type="dxa"/>
              <w:right w:w="0" w:type="dxa"/>
            </w:tcMar>
            <w:vAlign w:val="bottom"/>
          </w:tcPr>
          <w:p w14:paraId="504230A1" w14:textId="7818286F" w:rsidR="00587C76" w:rsidRPr="008C61C4" w:rsidRDefault="00587C76" w:rsidP="007B6871">
            <w:pPr>
              <w:pStyle w:val="DMETW1139BIPOrganicReconciliation"/>
              <w:tabs>
                <w:tab w:val="decimal" w:pos="1452"/>
              </w:tabs>
              <w:jc w:val="right"/>
              <w:rPr>
                <w:b/>
                <w:sz w:val="21"/>
                <w:szCs w:val="21"/>
                <w:lang w:val="en-GB"/>
              </w:rPr>
            </w:pPr>
            <w:r w:rsidRPr="008C61C4">
              <w:rPr>
                <w:b/>
                <w:sz w:val="21"/>
                <w:szCs w:val="21"/>
                <w:lang w:val="en-GB"/>
              </w:rPr>
              <w:t>59</w:t>
            </w:r>
            <w:r w:rsidR="005A53DC">
              <w:rPr>
                <w:b/>
                <w:sz w:val="21"/>
                <w:szCs w:val="21"/>
              </w:rPr>
              <w:t>,</w:t>
            </w:r>
            <w:r w:rsidRPr="008C61C4">
              <w:rPr>
                <w:b/>
                <w:sz w:val="21"/>
                <w:szCs w:val="21"/>
                <w:lang w:val="en-GB"/>
              </w:rPr>
              <w:t>3</w:t>
            </w:r>
          </w:p>
        </w:tc>
        <w:tc>
          <w:tcPr>
            <w:tcW w:w="1620" w:type="dxa"/>
            <w:tcBorders>
              <w:top w:val="nil"/>
              <w:left w:val="nil"/>
              <w:bottom w:val="nil"/>
              <w:right w:val="nil"/>
            </w:tcBorders>
            <w:tcMar>
              <w:top w:w="0" w:type="dxa"/>
              <w:left w:w="0" w:type="dxa"/>
              <w:bottom w:w="0" w:type="dxa"/>
              <w:right w:w="0" w:type="dxa"/>
            </w:tcMar>
            <w:vAlign w:val="bottom"/>
          </w:tcPr>
          <w:p w14:paraId="165077BE" w14:textId="77777777" w:rsidR="00587C76" w:rsidRPr="008C61C4" w:rsidRDefault="00587C76" w:rsidP="007B6871">
            <w:pPr>
              <w:pStyle w:val="DMETW1139BIPOrganicReconciliation"/>
              <w:tabs>
                <w:tab w:val="decimal" w:pos="1452"/>
              </w:tabs>
              <w:jc w:val="right"/>
              <w:rPr>
                <w:sz w:val="21"/>
                <w:szCs w:val="21"/>
                <w:lang w:val="en-GB"/>
              </w:rPr>
            </w:pPr>
            <w:bookmarkStart w:id="5" w:name="OLE_LINK1"/>
            <w:r w:rsidRPr="008C61C4">
              <w:rPr>
                <w:sz w:val="21"/>
                <w:szCs w:val="21"/>
                <w:lang w:val="en-GB"/>
              </w:rPr>
              <w:t>—</w:t>
            </w:r>
            <w:bookmarkEnd w:id="5"/>
          </w:p>
        </w:tc>
        <w:tc>
          <w:tcPr>
            <w:tcW w:w="1800" w:type="dxa"/>
            <w:tcBorders>
              <w:top w:val="nil"/>
              <w:left w:val="nil"/>
              <w:bottom w:val="nil"/>
              <w:right w:val="nil"/>
            </w:tcBorders>
            <w:tcMar>
              <w:top w:w="0" w:type="dxa"/>
              <w:left w:w="0" w:type="dxa"/>
              <w:bottom w:w="0" w:type="dxa"/>
              <w:right w:w="0" w:type="dxa"/>
            </w:tcMar>
            <w:vAlign w:val="bottom"/>
          </w:tcPr>
          <w:p w14:paraId="280E730A" w14:textId="77777777" w:rsidR="00587C76" w:rsidRPr="008C61C4" w:rsidRDefault="00587C76" w:rsidP="007B6871">
            <w:pPr>
              <w:pStyle w:val="DMETW1139BIPOrganicReconciliation"/>
              <w:tabs>
                <w:tab w:val="decimal" w:pos="1482"/>
              </w:tabs>
              <w:jc w:val="right"/>
              <w:rPr>
                <w:sz w:val="21"/>
                <w:szCs w:val="21"/>
                <w:lang w:val="en-GB"/>
              </w:rPr>
            </w:pPr>
            <w:r w:rsidRPr="008C61C4">
              <w:rPr>
                <w:sz w:val="21"/>
                <w:szCs w:val="21"/>
                <w:lang w:val="en-GB"/>
              </w:rPr>
              <w:t>—</w:t>
            </w:r>
          </w:p>
        </w:tc>
        <w:tc>
          <w:tcPr>
            <w:tcW w:w="1533" w:type="dxa"/>
            <w:tcBorders>
              <w:top w:val="nil"/>
              <w:left w:val="nil"/>
              <w:bottom w:val="nil"/>
              <w:right w:val="nil"/>
            </w:tcBorders>
            <w:tcMar>
              <w:top w:w="0" w:type="dxa"/>
              <w:left w:w="0" w:type="dxa"/>
              <w:bottom w:w="0" w:type="dxa"/>
              <w:right w:w="0" w:type="dxa"/>
            </w:tcMar>
            <w:vAlign w:val="bottom"/>
          </w:tcPr>
          <w:p w14:paraId="4D601741" w14:textId="4960043A" w:rsidR="00587C76" w:rsidRPr="008C61C4" w:rsidRDefault="00587C76" w:rsidP="007B6871">
            <w:pPr>
              <w:pStyle w:val="DMETW1139BIPOrganicReconciliation"/>
              <w:tabs>
                <w:tab w:val="decimal" w:pos="1335"/>
              </w:tabs>
              <w:jc w:val="right"/>
              <w:rPr>
                <w:sz w:val="21"/>
                <w:szCs w:val="21"/>
                <w:lang w:val="en-GB"/>
              </w:rPr>
            </w:pPr>
            <w:r w:rsidRPr="008C61C4">
              <w:rPr>
                <w:sz w:val="21"/>
                <w:szCs w:val="21"/>
                <w:lang w:val="en-GB"/>
              </w:rPr>
              <w:t xml:space="preserve"> 59</w:t>
            </w:r>
            <w:r w:rsidR="005A53DC">
              <w:rPr>
                <w:sz w:val="21"/>
                <w:szCs w:val="21"/>
              </w:rPr>
              <w:t>,</w:t>
            </w:r>
            <w:r w:rsidRPr="008C61C4">
              <w:rPr>
                <w:sz w:val="21"/>
                <w:szCs w:val="21"/>
                <w:lang w:val="en-GB"/>
              </w:rPr>
              <w:t>3</w:t>
            </w:r>
          </w:p>
        </w:tc>
      </w:tr>
      <w:tr w:rsidR="00587C76" w:rsidRPr="008C61C4" w14:paraId="7714A778" w14:textId="77777777" w:rsidTr="00F73AC4">
        <w:trPr>
          <w:trHeight w:val="20"/>
        </w:trPr>
        <w:tc>
          <w:tcPr>
            <w:tcW w:w="3598" w:type="dxa"/>
            <w:tcBorders>
              <w:top w:val="nil"/>
              <w:left w:val="nil"/>
              <w:bottom w:val="nil"/>
              <w:right w:val="nil"/>
            </w:tcBorders>
            <w:tcMar>
              <w:top w:w="0" w:type="dxa"/>
              <w:left w:w="60" w:type="dxa"/>
              <w:bottom w:w="0" w:type="dxa"/>
              <w:right w:w="60" w:type="dxa"/>
            </w:tcMar>
            <w:vAlign w:val="bottom"/>
          </w:tcPr>
          <w:p w14:paraId="29B98054" w14:textId="3AE5AACB" w:rsidR="00587C76" w:rsidRPr="008C61C4" w:rsidRDefault="007A7903" w:rsidP="007B6871">
            <w:pPr>
              <w:pStyle w:val="DMETW1139BIPOrganicReconciliation"/>
              <w:rPr>
                <w:sz w:val="21"/>
                <w:szCs w:val="21"/>
                <w:lang w:val="en-GB"/>
              </w:rPr>
            </w:pPr>
            <w:r>
              <w:rPr>
                <w:sz w:val="21"/>
                <w:szCs w:val="21"/>
              </w:rPr>
              <w:t>Οργανική μεταβολή</w:t>
            </w:r>
            <w:r w:rsidR="00587C76" w:rsidRPr="008C61C4">
              <w:rPr>
                <w:sz w:val="21"/>
                <w:szCs w:val="21"/>
                <w:lang w:val="en-GB"/>
              </w:rPr>
              <w:t xml:space="preserve"> </w:t>
            </w:r>
          </w:p>
        </w:tc>
        <w:tc>
          <w:tcPr>
            <w:tcW w:w="1260" w:type="dxa"/>
            <w:tcBorders>
              <w:top w:val="nil"/>
              <w:left w:val="nil"/>
              <w:bottom w:val="nil"/>
              <w:right w:val="nil"/>
            </w:tcBorders>
            <w:tcMar>
              <w:top w:w="0" w:type="dxa"/>
              <w:left w:w="0" w:type="dxa"/>
              <w:bottom w:w="0" w:type="dxa"/>
              <w:right w:w="0" w:type="dxa"/>
            </w:tcMar>
            <w:vAlign w:val="bottom"/>
          </w:tcPr>
          <w:p w14:paraId="4C7CDD2C" w14:textId="5492A1A7" w:rsidR="00587C76" w:rsidRPr="008C61C4" w:rsidRDefault="00587C76" w:rsidP="007B6871">
            <w:pPr>
              <w:pStyle w:val="DMETW1139BIPOrganicReconciliation"/>
              <w:tabs>
                <w:tab w:val="decimal" w:pos="1452"/>
              </w:tabs>
              <w:jc w:val="right"/>
              <w:rPr>
                <w:b/>
                <w:sz w:val="21"/>
                <w:szCs w:val="21"/>
                <w:lang w:val="en-GB"/>
              </w:rPr>
            </w:pPr>
            <w:r w:rsidRPr="008C61C4">
              <w:rPr>
                <w:b/>
                <w:sz w:val="21"/>
                <w:szCs w:val="21"/>
                <w:lang w:val="en-GB"/>
              </w:rPr>
              <w:t xml:space="preserve"> 55</w:t>
            </w:r>
            <w:r w:rsidR="005A53DC">
              <w:rPr>
                <w:b/>
                <w:sz w:val="21"/>
                <w:szCs w:val="21"/>
              </w:rPr>
              <w:t>,</w:t>
            </w:r>
            <w:r w:rsidRPr="008C61C4">
              <w:rPr>
                <w:b/>
                <w:sz w:val="21"/>
                <w:szCs w:val="21"/>
                <w:lang w:val="en-GB"/>
              </w:rPr>
              <w:t>4</w:t>
            </w:r>
          </w:p>
        </w:tc>
        <w:tc>
          <w:tcPr>
            <w:tcW w:w="1620" w:type="dxa"/>
            <w:tcBorders>
              <w:top w:val="nil"/>
              <w:left w:val="nil"/>
              <w:bottom w:val="nil"/>
              <w:right w:val="nil"/>
            </w:tcBorders>
            <w:tcMar>
              <w:top w:w="0" w:type="dxa"/>
              <w:left w:w="0" w:type="dxa"/>
              <w:bottom w:w="0" w:type="dxa"/>
              <w:right w:w="0" w:type="dxa"/>
            </w:tcMar>
            <w:vAlign w:val="bottom"/>
          </w:tcPr>
          <w:p w14:paraId="6D3DC5D6" w14:textId="4EECE2E8" w:rsidR="00587C76" w:rsidRPr="008C61C4" w:rsidRDefault="00587C76" w:rsidP="007B6871">
            <w:pPr>
              <w:pStyle w:val="DMETW1139BIPOrganicReconciliation"/>
              <w:tabs>
                <w:tab w:val="decimal" w:pos="1452"/>
              </w:tabs>
              <w:jc w:val="right"/>
              <w:rPr>
                <w:sz w:val="21"/>
                <w:szCs w:val="21"/>
                <w:lang w:val="en-GB"/>
              </w:rPr>
            </w:pPr>
            <w:r w:rsidRPr="008C61C4">
              <w:rPr>
                <w:sz w:val="21"/>
                <w:szCs w:val="21"/>
                <w:lang w:val="en-GB"/>
              </w:rPr>
              <w:t xml:space="preserve"> 11</w:t>
            </w:r>
            <w:r w:rsidR="005A53DC">
              <w:rPr>
                <w:sz w:val="21"/>
                <w:szCs w:val="21"/>
              </w:rPr>
              <w:t>,</w:t>
            </w:r>
            <w:r w:rsidRPr="008C61C4">
              <w:rPr>
                <w:sz w:val="21"/>
                <w:szCs w:val="21"/>
                <w:lang w:val="en-GB"/>
              </w:rPr>
              <w:t>3</w:t>
            </w:r>
          </w:p>
        </w:tc>
        <w:tc>
          <w:tcPr>
            <w:tcW w:w="1800" w:type="dxa"/>
            <w:tcBorders>
              <w:top w:val="nil"/>
              <w:left w:val="nil"/>
              <w:bottom w:val="nil"/>
              <w:right w:val="nil"/>
            </w:tcBorders>
            <w:tcMar>
              <w:top w:w="0" w:type="dxa"/>
              <w:left w:w="0" w:type="dxa"/>
              <w:bottom w:w="0" w:type="dxa"/>
              <w:right w:w="0" w:type="dxa"/>
            </w:tcMar>
            <w:vAlign w:val="bottom"/>
          </w:tcPr>
          <w:p w14:paraId="75DB8F4F" w14:textId="47DF34D2" w:rsidR="00587C76" w:rsidRPr="008C61C4" w:rsidRDefault="00587C76" w:rsidP="007B6871">
            <w:pPr>
              <w:pStyle w:val="DMETW1139BIPOrganicReconciliation"/>
              <w:tabs>
                <w:tab w:val="decimal" w:pos="1482"/>
              </w:tabs>
              <w:jc w:val="right"/>
              <w:rPr>
                <w:sz w:val="21"/>
                <w:szCs w:val="21"/>
                <w:lang w:val="en-GB"/>
              </w:rPr>
            </w:pPr>
            <w:r w:rsidRPr="008C61C4">
              <w:rPr>
                <w:sz w:val="21"/>
                <w:szCs w:val="21"/>
                <w:lang w:val="en-GB"/>
              </w:rPr>
              <w:t xml:space="preserve"> 19</w:t>
            </w:r>
            <w:r w:rsidR="005A53DC">
              <w:rPr>
                <w:sz w:val="21"/>
                <w:szCs w:val="21"/>
              </w:rPr>
              <w:t>,</w:t>
            </w:r>
            <w:r w:rsidRPr="008C61C4">
              <w:rPr>
                <w:sz w:val="21"/>
                <w:szCs w:val="21"/>
                <w:lang w:val="en-GB"/>
              </w:rPr>
              <w:t>4</w:t>
            </w:r>
          </w:p>
        </w:tc>
        <w:tc>
          <w:tcPr>
            <w:tcW w:w="1533" w:type="dxa"/>
            <w:tcBorders>
              <w:top w:val="nil"/>
              <w:left w:val="nil"/>
              <w:bottom w:val="nil"/>
              <w:right w:val="nil"/>
            </w:tcBorders>
            <w:tcMar>
              <w:top w:w="0" w:type="dxa"/>
              <w:left w:w="0" w:type="dxa"/>
              <w:bottom w:w="0" w:type="dxa"/>
              <w:right w:w="0" w:type="dxa"/>
            </w:tcMar>
            <w:vAlign w:val="bottom"/>
          </w:tcPr>
          <w:p w14:paraId="0315D18C" w14:textId="6FD02048" w:rsidR="00587C76" w:rsidRPr="008C61C4" w:rsidRDefault="00587C76" w:rsidP="007B6871">
            <w:pPr>
              <w:pStyle w:val="DMETW1139BIPOrganicReconciliation"/>
              <w:tabs>
                <w:tab w:val="decimal" w:pos="1335"/>
              </w:tabs>
              <w:jc w:val="right"/>
              <w:rPr>
                <w:sz w:val="21"/>
                <w:szCs w:val="21"/>
                <w:lang w:val="en-GB"/>
              </w:rPr>
            </w:pPr>
            <w:r w:rsidRPr="008C61C4">
              <w:rPr>
                <w:sz w:val="21"/>
                <w:szCs w:val="21"/>
                <w:lang w:val="en-GB"/>
              </w:rPr>
              <w:t xml:space="preserve"> 24</w:t>
            </w:r>
            <w:r w:rsidR="005A53DC">
              <w:rPr>
                <w:sz w:val="21"/>
                <w:szCs w:val="21"/>
              </w:rPr>
              <w:t>,</w:t>
            </w:r>
            <w:r w:rsidRPr="008C61C4">
              <w:rPr>
                <w:sz w:val="21"/>
                <w:szCs w:val="21"/>
                <w:lang w:val="en-GB"/>
              </w:rPr>
              <w:t>7</w:t>
            </w:r>
          </w:p>
        </w:tc>
      </w:tr>
      <w:tr w:rsidR="00587C76" w:rsidRPr="008C61C4" w14:paraId="26B0DA43" w14:textId="77777777" w:rsidTr="00F73AC4">
        <w:trPr>
          <w:trHeight w:val="20"/>
        </w:trPr>
        <w:tc>
          <w:tcPr>
            <w:tcW w:w="3598" w:type="dxa"/>
            <w:tcBorders>
              <w:top w:val="nil"/>
              <w:left w:val="nil"/>
              <w:bottom w:val="nil"/>
              <w:right w:val="nil"/>
            </w:tcBorders>
            <w:tcMar>
              <w:top w:w="0" w:type="dxa"/>
              <w:left w:w="60" w:type="dxa"/>
              <w:bottom w:w="0" w:type="dxa"/>
              <w:right w:w="60" w:type="dxa"/>
            </w:tcMar>
            <w:vAlign w:val="bottom"/>
          </w:tcPr>
          <w:p w14:paraId="6E69AEF7" w14:textId="67242918" w:rsidR="00587C76" w:rsidRPr="007A7903" w:rsidRDefault="00587C76" w:rsidP="007B6871">
            <w:pPr>
              <w:pStyle w:val="DMETW1139BIPOrganicReconciliation"/>
              <w:rPr>
                <w:b/>
                <w:sz w:val="21"/>
                <w:szCs w:val="21"/>
              </w:rPr>
            </w:pPr>
            <w:r w:rsidRPr="008C61C4">
              <w:rPr>
                <w:b/>
                <w:sz w:val="21"/>
                <w:szCs w:val="21"/>
                <w:lang w:val="en-GB"/>
              </w:rPr>
              <w:t xml:space="preserve">2022 </w:t>
            </w:r>
            <w:r w:rsidR="007A7903">
              <w:rPr>
                <w:b/>
                <w:sz w:val="21"/>
                <w:szCs w:val="21"/>
              </w:rPr>
              <w:t>δημοσιευμένα</w:t>
            </w:r>
            <w:r w:rsidR="004D75B0">
              <w:rPr>
                <w:b/>
                <w:sz w:val="21"/>
                <w:szCs w:val="21"/>
              </w:rPr>
              <w:t xml:space="preserve"> μεγέθη</w:t>
            </w:r>
          </w:p>
        </w:tc>
        <w:tc>
          <w:tcPr>
            <w:tcW w:w="1260" w:type="dxa"/>
            <w:tcBorders>
              <w:top w:val="single" w:sz="4" w:space="0" w:color="000000"/>
              <w:left w:val="nil"/>
              <w:bottom w:val="single" w:sz="4" w:space="0" w:color="000000"/>
              <w:right w:val="nil"/>
            </w:tcBorders>
            <w:tcMar>
              <w:top w:w="0" w:type="dxa"/>
              <w:left w:w="0" w:type="dxa"/>
              <w:bottom w:w="0" w:type="dxa"/>
              <w:right w:w="0" w:type="dxa"/>
            </w:tcMar>
            <w:vAlign w:val="bottom"/>
          </w:tcPr>
          <w:p w14:paraId="676A1AC3" w14:textId="5EEC2CB7" w:rsidR="00587C76" w:rsidRPr="008C61C4" w:rsidRDefault="00587C76" w:rsidP="007B6871">
            <w:pPr>
              <w:pStyle w:val="DMETW1139BIPOrganicReconciliation"/>
              <w:tabs>
                <w:tab w:val="decimal" w:pos="1452"/>
              </w:tabs>
              <w:jc w:val="right"/>
              <w:rPr>
                <w:b/>
                <w:sz w:val="21"/>
                <w:szCs w:val="21"/>
                <w:lang w:val="en-GB"/>
              </w:rPr>
            </w:pPr>
            <w:r w:rsidRPr="008C61C4">
              <w:rPr>
                <w:b/>
                <w:sz w:val="21"/>
                <w:szCs w:val="21"/>
                <w:lang w:val="en-GB"/>
              </w:rPr>
              <w:t xml:space="preserve"> 605</w:t>
            </w:r>
            <w:r w:rsidR="005A53DC">
              <w:rPr>
                <w:b/>
                <w:sz w:val="21"/>
                <w:szCs w:val="21"/>
              </w:rPr>
              <w:t>,</w:t>
            </w:r>
            <w:r w:rsidRPr="008C61C4">
              <w:rPr>
                <w:b/>
                <w:sz w:val="21"/>
                <w:szCs w:val="21"/>
                <w:lang w:val="en-GB"/>
              </w:rPr>
              <w:t>5</w:t>
            </w:r>
          </w:p>
        </w:tc>
        <w:tc>
          <w:tcPr>
            <w:tcW w:w="1620" w:type="dxa"/>
            <w:tcBorders>
              <w:top w:val="single" w:sz="4" w:space="0" w:color="000000"/>
              <w:left w:val="nil"/>
              <w:bottom w:val="single" w:sz="4" w:space="0" w:color="000000"/>
              <w:right w:val="nil"/>
            </w:tcBorders>
            <w:tcMar>
              <w:top w:w="0" w:type="dxa"/>
              <w:left w:w="0" w:type="dxa"/>
              <w:bottom w:w="0" w:type="dxa"/>
              <w:right w:w="0" w:type="dxa"/>
            </w:tcMar>
            <w:vAlign w:val="bottom"/>
          </w:tcPr>
          <w:p w14:paraId="6C918D5E" w14:textId="09BBEC9D" w:rsidR="00587C76" w:rsidRPr="008C61C4" w:rsidRDefault="00587C76" w:rsidP="007B6871">
            <w:pPr>
              <w:pStyle w:val="DMETW1139BIPOrganicReconciliation"/>
              <w:tabs>
                <w:tab w:val="decimal" w:pos="1452"/>
              </w:tabs>
              <w:jc w:val="right"/>
              <w:rPr>
                <w:b/>
                <w:sz w:val="21"/>
                <w:szCs w:val="21"/>
                <w:lang w:val="en-GB"/>
              </w:rPr>
            </w:pPr>
            <w:r w:rsidRPr="008C61C4">
              <w:rPr>
                <w:b/>
                <w:sz w:val="21"/>
                <w:szCs w:val="21"/>
                <w:lang w:val="en-GB"/>
              </w:rPr>
              <w:t xml:space="preserve"> 129</w:t>
            </w:r>
            <w:r w:rsidR="005A53DC">
              <w:rPr>
                <w:b/>
                <w:sz w:val="21"/>
                <w:szCs w:val="21"/>
              </w:rPr>
              <w:t>,</w:t>
            </w:r>
            <w:r w:rsidRPr="008C61C4">
              <w:rPr>
                <w:b/>
                <w:sz w:val="21"/>
                <w:szCs w:val="21"/>
                <w:lang w:val="en-GB"/>
              </w:rPr>
              <w:t>1</w:t>
            </w:r>
          </w:p>
        </w:tc>
        <w:tc>
          <w:tcPr>
            <w:tcW w:w="1800" w:type="dxa"/>
            <w:tcBorders>
              <w:top w:val="single" w:sz="4" w:space="0" w:color="000000"/>
              <w:left w:val="nil"/>
              <w:bottom w:val="single" w:sz="4" w:space="0" w:color="000000"/>
              <w:right w:val="nil"/>
            </w:tcBorders>
            <w:tcMar>
              <w:top w:w="0" w:type="dxa"/>
              <w:left w:w="0" w:type="dxa"/>
              <w:bottom w:w="0" w:type="dxa"/>
              <w:right w:w="0" w:type="dxa"/>
            </w:tcMar>
            <w:vAlign w:val="bottom"/>
          </w:tcPr>
          <w:p w14:paraId="26E949E2" w14:textId="14AA62C1" w:rsidR="00587C76" w:rsidRPr="008C61C4" w:rsidRDefault="00587C76" w:rsidP="007B6871">
            <w:pPr>
              <w:pStyle w:val="DMETW1139BIPOrganicReconciliation"/>
              <w:tabs>
                <w:tab w:val="decimal" w:pos="1482"/>
              </w:tabs>
              <w:jc w:val="right"/>
              <w:rPr>
                <w:b/>
                <w:sz w:val="21"/>
                <w:szCs w:val="21"/>
                <w:lang w:val="en-GB"/>
              </w:rPr>
            </w:pPr>
            <w:r w:rsidRPr="008C61C4">
              <w:rPr>
                <w:b/>
                <w:sz w:val="21"/>
                <w:szCs w:val="21"/>
                <w:lang w:val="en-GB"/>
              </w:rPr>
              <w:t xml:space="preserve"> 100</w:t>
            </w:r>
            <w:r w:rsidR="005A53DC">
              <w:rPr>
                <w:b/>
                <w:sz w:val="21"/>
                <w:szCs w:val="21"/>
              </w:rPr>
              <w:t>,</w:t>
            </w:r>
            <w:r w:rsidRPr="008C61C4">
              <w:rPr>
                <w:b/>
                <w:sz w:val="21"/>
                <w:szCs w:val="21"/>
                <w:lang w:val="en-GB"/>
              </w:rPr>
              <w:t>3</w:t>
            </w:r>
          </w:p>
        </w:tc>
        <w:tc>
          <w:tcPr>
            <w:tcW w:w="1533" w:type="dxa"/>
            <w:tcBorders>
              <w:top w:val="single" w:sz="4" w:space="0" w:color="000000"/>
              <w:left w:val="nil"/>
              <w:bottom w:val="single" w:sz="4" w:space="0" w:color="000000"/>
              <w:right w:val="nil"/>
            </w:tcBorders>
            <w:tcMar>
              <w:top w:w="0" w:type="dxa"/>
              <w:left w:w="0" w:type="dxa"/>
              <w:bottom w:w="0" w:type="dxa"/>
              <w:right w:w="0" w:type="dxa"/>
            </w:tcMar>
            <w:vAlign w:val="bottom"/>
          </w:tcPr>
          <w:p w14:paraId="5EC42AF5" w14:textId="4A4D3DBC" w:rsidR="00587C76" w:rsidRPr="008C61C4" w:rsidRDefault="00587C76" w:rsidP="007B6871">
            <w:pPr>
              <w:pStyle w:val="DMETW1139BIPOrganicReconciliation"/>
              <w:tabs>
                <w:tab w:val="decimal" w:pos="1482"/>
              </w:tabs>
              <w:jc w:val="right"/>
              <w:rPr>
                <w:b/>
                <w:sz w:val="21"/>
                <w:szCs w:val="21"/>
                <w:lang w:val="en-GB"/>
              </w:rPr>
            </w:pPr>
            <w:r w:rsidRPr="008C61C4">
              <w:rPr>
                <w:b/>
                <w:sz w:val="21"/>
                <w:szCs w:val="21"/>
                <w:lang w:val="en-GB"/>
              </w:rPr>
              <w:t xml:space="preserve"> 376</w:t>
            </w:r>
            <w:r w:rsidR="005A53DC">
              <w:rPr>
                <w:b/>
                <w:sz w:val="21"/>
                <w:szCs w:val="21"/>
              </w:rPr>
              <w:t>,</w:t>
            </w:r>
            <w:r w:rsidRPr="008C61C4">
              <w:rPr>
                <w:b/>
                <w:sz w:val="21"/>
                <w:szCs w:val="21"/>
                <w:lang w:val="en-GB"/>
              </w:rPr>
              <w:t>1</w:t>
            </w:r>
          </w:p>
        </w:tc>
      </w:tr>
      <w:tr w:rsidR="00587C76" w:rsidRPr="008C61C4" w14:paraId="4FEEB877" w14:textId="77777777" w:rsidTr="00F73AC4">
        <w:trPr>
          <w:trHeight w:hRule="exact" w:val="144"/>
        </w:trPr>
        <w:tc>
          <w:tcPr>
            <w:tcW w:w="3598" w:type="dxa"/>
            <w:tcBorders>
              <w:top w:val="nil"/>
              <w:left w:val="nil"/>
              <w:bottom w:val="nil"/>
              <w:right w:val="nil"/>
            </w:tcBorders>
            <w:tcMar>
              <w:top w:w="0" w:type="dxa"/>
              <w:left w:w="60" w:type="dxa"/>
              <w:bottom w:w="0" w:type="dxa"/>
              <w:right w:w="60" w:type="dxa"/>
            </w:tcMar>
            <w:vAlign w:val="bottom"/>
          </w:tcPr>
          <w:p w14:paraId="69B20D56" w14:textId="77777777" w:rsidR="00587C76" w:rsidRPr="008C61C4" w:rsidRDefault="00587C76" w:rsidP="007B6871">
            <w:pPr>
              <w:pStyle w:val="DMETW1139BIPOrganicReconciliation"/>
              <w:rPr>
                <w:sz w:val="21"/>
                <w:szCs w:val="21"/>
                <w:lang w:val="en-GB"/>
              </w:rPr>
            </w:pPr>
          </w:p>
        </w:tc>
        <w:tc>
          <w:tcPr>
            <w:tcW w:w="1260" w:type="dxa"/>
            <w:tcBorders>
              <w:top w:val="nil"/>
              <w:left w:val="nil"/>
              <w:bottom w:val="nil"/>
              <w:right w:val="nil"/>
            </w:tcBorders>
            <w:tcMar>
              <w:top w:w="0" w:type="dxa"/>
              <w:left w:w="60" w:type="dxa"/>
              <w:bottom w:w="0" w:type="dxa"/>
              <w:right w:w="60" w:type="dxa"/>
            </w:tcMar>
            <w:vAlign w:val="bottom"/>
          </w:tcPr>
          <w:p w14:paraId="6EB683A4" w14:textId="77777777" w:rsidR="00587C76" w:rsidRPr="008C61C4" w:rsidRDefault="00587C76" w:rsidP="007B6871">
            <w:pPr>
              <w:pStyle w:val="DMETW1139BIPOrganicReconciliation"/>
              <w:jc w:val="right"/>
              <w:rPr>
                <w:sz w:val="21"/>
                <w:szCs w:val="21"/>
                <w:lang w:val="en-GB"/>
              </w:rPr>
            </w:pPr>
          </w:p>
        </w:tc>
        <w:tc>
          <w:tcPr>
            <w:tcW w:w="1620" w:type="dxa"/>
            <w:tcBorders>
              <w:top w:val="nil"/>
              <w:left w:val="nil"/>
              <w:bottom w:val="nil"/>
              <w:right w:val="nil"/>
            </w:tcBorders>
            <w:tcMar>
              <w:top w:w="0" w:type="dxa"/>
              <w:left w:w="60" w:type="dxa"/>
              <w:bottom w:w="0" w:type="dxa"/>
              <w:right w:w="60" w:type="dxa"/>
            </w:tcMar>
            <w:vAlign w:val="bottom"/>
          </w:tcPr>
          <w:p w14:paraId="6AE51DE4" w14:textId="77777777" w:rsidR="00587C76" w:rsidRPr="008C61C4" w:rsidRDefault="00587C76" w:rsidP="007B6871">
            <w:pPr>
              <w:pStyle w:val="DMETW1139BIPOrganicReconciliation"/>
              <w:jc w:val="right"/>
              <w:rPr>
                <w:sz w:val="21"/>
                <w:szCs w:val="21"/>
                <w:lang w:val="en-GB"/>
              </w:rPr>
            </w:pPr>
          </w:p>
        </w:tc>
        <w:tc>
          <w:tcPr>
            <w:tcW w:w="1800" w:type="dxa"/>
            <w:tcBorders>
              <w:top w:val="nil"/>
              <w:left w:val="nil"/>
              <w:bottom w:val="nil"/>
              <w:right w:val="nil"/>
            </w:tcBorders>
            <w:tcMar>
              <w:top w:w="0" w:type="dxa"/>
              <w:left w:w="60" w:type="dxa"/>
              <w:bottom w:w="0" w:type="dxa"/>
              <w:right w:w="60" w:type="dxa"/>
            </w:tcMar>
            <w:vAlign w:val="bottom"/>
          </w:tcPr>
          <w:p w14:paraId="72B8A2A5" w14:textId="77777777" w:rsidR="00587C76" w:rsidRPr="008C61C4" w:rsidRDefault="00587C76" w:rsidP="007B6871">
            <w:pPr>
              <w:pStyle w:val="DMETW1139BIPOrganicReconciliation"/>
              <w:jc w:val="right"/>
              <w:rPr>
                <w:sz w:val="21"/>
                <w:szCs w:val="21"/>
                <w:lang w:val="en-GB"/>
              </w:rPr>
            </w:pPr>
          </w:p>
        </w:tc>
        <w:tc>
          <w:tcPr>
            <w:tcW w:w="1533" w:type="dxa"/>
            <w:tcBorders>
              <w:top w:val="nil"/>
              <w:left w:val="nil"/>
              <w:bottom w:val="nil"/>
              <w:right w:val="nil"/>
            </w:tcBorders>
            <w:tcMar>
              <w:top w:w="0" w:type="dxa"/>
              <w:left w:w="60" w:type="dxa"/>
              <w:bottom w:w="0" w:type="dxa"/>
              <w:right w:w="60" w:type="dxa"/>
            </w:tcMar>
            <w:vAlign w:val="bottom"/>
          </w:tcPr>
          <w:p w14:paraId="304486A8" w14:textId="77777777" w:rsidR="00587C76" w:rsidRPr="008C61C4" w:rsidRDefault="00587C76" w:rsidP="007B6871">
            <w:pPr>
              <w:pStyle w:val="DMETW1139BIPOrganicReconciliation"/>
              <w:jc w:val="right"/>
              <w:rPr>
                <w:sz w:val="21"/>
                <w:szCs w:val="21"/>
                <w:lang w:val="en-GB"/>
              </w:rPr>
            </w:pPr>
          </w:p>
        </w:tc>
      </w:tr>
      <w:tr w:rsidR="00587C76" w:rsidRPr="008C61C4" w14:paraId="2CD6E970" w14:textId="77777777" w:rsidTr="00F73AC4">
        <w:trPr>
          <w:trHeight w:val="20"/>
        </w:trPr>
        <w:tc>
          <w:tcPr>
            <w:tcW w:w="3598" w:type="dxa"/>
            <w:tcBorders>
              <w:top w:val="nil"/>
              <w:left w:val="nil"/>
              <w:bottom w:val="nil"/>
              <w:right w:val="nil"/>
            </w:tcBorders>
            <w:tcMar>
              <w:top w:w="0" w:type="dxa"/>
              <w:left w:w="60" w:type="dxa"/>
              <w:bottom w:w="0" w:type="dxa"/>
              <w:right w:w="60" w:type="dxa"/>
            </w:tcMar>
            <w:vAlign w:val="bottom"/>
          </w:tcPr>
          <w:p w14:paraId="14279A7B" w14:textId="2797B48A" w:rsidR="00587C76" w:rsidRPr="008C61C4" w:rsidRDefault="007A7903" w:rsidP="007B6871">
            <w:pPr>
              <w:pStyle w:val="DMETW1139BIPOrganicReconciliation"/>
              <w:rPr>
                <w:b/>
                <w:sz w:val="21"/>
                <w:szCs w:val="21"/>
                <w:lang w:val="en-GB"/>
              </w:rPr>
            </w:pPr>
            <w:r>
              <w:rPr>
                <w:b/>
                <w:sz w:val="21"/>
                <w:szCs w:val="21"/>
              </w:rPr>
              <w:t>Οργανική</w:t>
            </w:r>
            <w:r w:rsidR="00587C76" w:rsidRPr="008C61C4">
              <w:rPr>
                <w:b/>
                <w:sz w:val="21"/>
                <w:szCs w:val="21"/>
                <w:lang w:val="en-GB"/>
              </w:rPr>
              <w:t xml:space="preserve"> </w:t>
            </w:r>
            <w:r>
              <w:rPr>
                <w:b/>
                <w:sz w:val="21"/>
                <w:szCs w:val="21"/>
              </w:rPr>
              <w:t>αύξηση</w:t>
            </w:r>
            <w:r w:rsidR="00587C76" w:rsidRPr="008C61C4">
              <w:rPr>
                <w:b/>
                <w:sz w:val="21"/>
                <w:szCs w:val="21"/>
                <w:lang w:val="en-GB"/>
              </w:rPr>
              <w:t xml:space="preserve"> (%)</w:t>
            </w:r>
          </w:p>
        </w:tc>
        <w:tc>
          <w:tcPr>
            <w:tcW w:w="1260" w:type="dxa"/>
            <w:tcBorders>
              <w:top w:val="single" w:sz="4" w:space="0" w:color="000000"/>
              <w:left w:val="nil"/>
              <w:bottom w:val="single" w:sz="4" w:space="0" w:color="000000"/>
              <w:right w:val="nil"/>
            </w:tcBorders>
            <w:tcMar>
              <w:top w:w="0" w:type="dxa"/>
              <w:left w:w="60" w:type="dxa"/>
              <w:bottom w:w="0" w:type="dxa"/>
              <w:right w:w="60" w:type="dxa"/>
            </w:tcMar>
            <w:vAlign w:val="bottom"/>
          </w:tcPr>
          <w:p w14:paraId="4E5E0DB7" w14:textId="2D1CDD89" w:rsidR="00587C76" w:rsidRPr="008C61C4" w:rsidRDefault="00587C76" w:rsidP="007B6871">
            <w:pPr>
              <w:pStyle w:val="DMETW1139BIPOrganicReconciliation"/>
              <w:jc w:val="right"/>
              <w:rPr>
                <w:b/>
                <w:sz w:val="21"/>
                <w:szCs w:val="21"/>
                <w:lang w:val="en-GB"/>
              </w:rPr>
            </w:pPr>
            <w:r w:rsidRPr="008C61C4">
              <w:rPr>
                <w:b/>
                <w:sz w:val="21"/>
                <w:szCs w:val="21"/>
                <w:lang w:val="en-GB"/>
              </w:rPr>
              <w:t>11</w:t>
            </w:r>
            <w:r w:rsidR="005A53DC">
              <w:rPr>
                <w:b/>
                <w:sz w:val="21"/>
                <w:szCs w:val="21"/>
              </w:rPr>
              <w:t>,</w:t>
            </w:r>
            <w:r w:rsidRPr="008C61C4">
              <w:rPr>
                <w:b/>
                <w:sz w:val="21"/>
                <w:szCs w:val="21"/>
                <w:lang w:val="en-GB"/>
              </w:rPr>
              <w:t>3%</w:t>
            </w:r>
          </w:p>
        </w:tc>
        <w:tc>
          <w:tcPr>
            <w:tcW w:w="1620" w:type="dxa"/>
            <w:tcBorders>
              <w:top w:val="single" w:sz="4" w:space="0" w:color="000000"/>
              <w:left w:val="nil"/>
              <w:bottom w:val="single" w:sz="4" w:space="0" w:color="000000"/>
              <w:right w:val="nil"/>
            </w:tcBorders>
            <w:tcMar>
              <w:top w:w="0" w:type="dxa"/>
              <w:left w:w="60" w:type="dxa"/>
              <w:bottom w:w="0" w:type="dxa"/>
              <w:right w:w="60" w:type="dxa"/>
            </w:tcMar>
            <w:vAlign w:val="bottom"/>
          </w:tcPr>
          <w:p w14:paraId="094105B1" w14:textId="09268CB8" w:rsidR="00587C76" w:rsidRPr="008C61C4" w:rsidRDefault="00587C76" w:rsidP="007B6871">
            <w:pPr>
              <w:pStyle w:val="DMETW1139BIPOrganicReconciliation"/>
              <w:jc w:val="right"/>
              <w:rPr>
                <w:b/>
                <w:bCs/>
                <w:sz w:val="21"/>
                <w:szCs w:val="21"/>
                <w:lang w:val="en-GB"/>
              </w:rPr>
            </w:pPr>
            <w:r w:rsidRPr="008C61C4">
              <w:rPr>
                <w:b/>
                <w:bCs/>
                <w:sz w:val="21"/>
                <w:szCs w:val="21"/>
                <w:lang w:val="en-GB"/>
              </w:rPr>
              <w:t>9</w:t>
            </w:r>
            <w:r w:rsidR="005A53DC">
              <w:rPr>
                <w:b/>
                <w:bCs/>
                <w:sz w:val="21"/>
                <w:szCs w:val="21"/>
              </w:rPr>
              <w:t>,</w:t>
            </w:r>
            <w:r w:rsidRPr="008C61C4">
              <w:rPr>
                <w:b/>
                <w:bCs/>
                <w:sz w:val="21"/>
                <w:szCs w:val="21"/>
                <w:lang w:val="en-GB"/>
              </w:rPr>
              <w:t>6%</w:t>
            </w:r>
          </w:p>
        </w:tc>
        <w:tc>
          <w:tcPr>
            <w:tcW w:w="1800" w:type="dxa"/>
            <w:tcBorders>
              <w:top w:val="single" w:sz="4" w:space="0" w:color="000000"/>
              <w:left w:val="nil"/>
              <w:bottom w:val="single" w:sz="4" w:space="0" w:color="000000"/>
              <w:right w:val="nil"/>
            </w:tcBorders>
            <w:tcMar>
              <w:top w:w="0" w:type="dxa"/>
              <w:left w:w="60" w:type="dxa"/>
              <w:bottom w:w="0" w:type="dxa"/>
              <w:right w:w="60" w:type="dxa"/>
            </w:tcMar>
            <w:vAlign w:val="bottom"/>
          </w:tcPr>
          <w:p w14:paraId="1E841378" w14:textId="4ACBF2B5" w:rsidR="00587C76" w:rsidRPr="008C61C4" w:rsidRDefault="00587C76" w:rsidP="007B6871">
            <w:pPr>
              <w:pStyle w:val="DMETW1139BIPOrganicReconciliation"/>
              <w:jc w:val="right"/>
              <w:rPr>
                <w:b/>
                <w:bCs/>
                <w:sz w:val="21"/>
                <w:szCs w:val="21"/>
                <w:lang w:val="en-GB"/>
              </w:rPr>
            </w:pPr>
            <w:r w:rsidRPr="008C61C4">
              <w:rPr>
                <w:b/>
                <w:bCs/>
                <w:sz w:val="21"/>
                <w:szCs w:val="21"/>
                <w:lang w:val="en-GB"/>
              </w:rPr>
              <w:t>24</w:t>
            </w:r>
            <w:r w:rsidR="005A53DC">
              <w:rPr>
                <w:b/>
                <w:bCs/>
                <w:sz w:val="21"/>
                <w:szCs w:val="21"/>
              </w:rPr>
              <w:t>,</w:t>
            </w:r>
            <w:r w:rsidRPr="008C61C4">
              <w:rPr>
                <w:b/>
                <w:bCs/>
                <w:sz w:val="21"/>
                <w:szCs w:val="21"/>
                <w:lang w:val="en-GB"/>
              </w:rPr>
              <w:t>0%</w:t>
            </w:r>
          </w:p>
        </w:tc>
        <w:tc>
          <w:tcPr>
            <w:tcW w:w="1533" w:type="dxa"/>
            <w:tcBorders>
              <w:top w:val="single" w:sz="4" w:space="0" w:color="000000"/>
              <w:left w:val="nil"/>
              <w:bottom w:val="single" w:sz="4" w:space="0" w:color="000000"/>
              <w:right w:val="nil"/>
            </w:tcBorders>
            <w:tcMar>
              <w:top w:w="0" w:type="dxa"/>
              <w:left w:w="60" w:type="dxa"/>
              <w:bottom w:w="0" w:type="dxa"/>
              <w:right w:w="60" w:type="dxa"/>
            </w:tcMar>
            <w:vAlign w:val="bottom"/>
          </w:tcPr>
          <w:p w14:paraId="4BEBB6F6" w14:textId="3FA6C432" w:rsidR="00587C76" w:rsidRPr="008C61C4" w:rsidRDefault="00587C76" w:rsidP="007B6871">
            <w:pPr>
              <w:pStyle w:val="DMETW1139BIPOrganicReconciliation"/>
              <w:jc w:val="right"/>
              <w:rPr>
                <w:b/>
                <w:bCs/>
                <w:sz w:val="21"/>
                <w:szCs w:val="21"/>
                <w:lang w:val="en-GB"/>
              </w:rPr>
            </w:pPr>
            <w:r w:rsidRPr="008C61C4">
              <w:rPr>
                <w:b/>
                <w:bCs/>
                <w:sz w:val="21"/>
                <w:szCs w:val="21"/>
                <w:lang w:val="en-GB"/>
              </w:rPr>
              <w:t>8</w:t>
            </w:r>
            <w:r w:rsidR="005A53DC">
              <w:rPr>
                <w:b/>
                <w:bCs/>
                <w:sz w:val="21"/>
                <w:szCs w:val="21"/>
              </w:rPr>
              <w:t>,</w:t>
            </w:r>
            <w:r w:rsidRPr="008C61C4">
              <w:rPr>
                <w:b/>
                <w:bCs/>
                <w:sz w:val="21"/>
                <w:szCs w:val="21"/>
                <w:lang w:val="en-GB"/>
              </w:rPr>
              <w:t>5%</w:t>
            </w:r>
          </w:p>
        </w:tc>
      </w:tr>
    </w:tbl>
    <w:p w14:paraId="46295487" w14:textId="77777777" w:rsidR="005A53DC" w:rsidRDefault="005A53DC">
      <w:r>
        <w:br w:type="page"/>
      </w:r>
    </w:p>
    <w:tbl>
      <w:tblPr>
        <w:tblW w:w="981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98"/>
        <w:gridCol w:w="1260"/>
        <w:gridCol w:w="1620"/>
        <w:gridCol w:w="1800"/>
        <w:gridCol w:w="1533"/>
      </w:tblGrid>
      <w:tr w:rsidR="00587C76" w:rsidRPr="008C61C4" w14:paraId="6A74941F" w14:textId="77777777" w:rsidTr="00F73AC4">
        <w:trPr>
          <w:trHeight w:val="20"/>
        </w:trPr>
        <w:tc>
          <w:tcPr>
            <w:tcW w:w="3598" w:type="dxa"/>
            <w:tcBorders>
              <w:top w:val="nil"/>
              <w:left w:val="nil"/>
              <w:bottom w:val="nil"/>
              <w:right w:val="nil"/>
            </w:tcBorders>
            <w:tcMar>
              <w:top w:w="0" w:type="dxa"/>
              <w:left w:w="60" w:type="dxa"/>
              <w:bottom w:w="0" w:type="dxa"/>
              <w:right w:w="60" w:type="dxa"/>
            </w:tcMar>
            <w:vAlign w:val="bottom"/>
          </w:tcPr>
          <w:p w14:paraId="4BC64102" w14:textId="55FC2BCE" w:rsidR="00587C76" w:rsidRPr="008C61C4" w:rsidRDefault="00587C76" w:rsidP="007B6871">
            <w:pPr>
              <w:pStyle w:val="DMETW1139BIPOrganicReconciliation"/>
              <w:rPr>
                <w:sz w:val="21"/>
                <w:szCs w:val="21"/>
                <w:lang w:val="en-GB"/>
              </w:rPr>
            </w:pPr>
          </w:p>
        </w:tc>
        <w:tc>
          <w:tcPr>
            <w:tcW w:w="1260" w:type="dxa"/>
            <w:tcBorders>
              <w:top w:val="nil"/>
              <w:left w:val="nil"/>
              <w:bottom w:val="nil"/>
              <w:right w:val="nil"/>
            </w:tcBorders>
            <w:tcMar>
              <w:top w:w="0" w:type="dxa"/>
              <w:left w:w="60" w:type="dxa"/>
              <w:bottom w:w="0" w:type="dxa"/>
              <w:right w:w="60" w:type="dxa"/>
            </w:tcMar>
            <w:vAlign w:val="bottom"/>
          </w:tcPr>
          <w:p w14:paraId="0FB8C2F8" w14:textId="77777777" w:rsidR="00587C76" w:rsidRPr="008C61C4" w:rsidRDefault="00587C76" w:rsidP="007B6871">
            <w:pPr>
              <w:pStyle w:val="DMETW1139BIPOrganicReconciliation"/>
              <w:rPr>
                <w:sz w:val="21"/>
                <w:szCs w:val="21"/>
                <w:lang w:val="en-GB"/>
              </w:rPr>
            </w:pPr>
          </w:p>
        </w:tc>
        <w:tc>
          <w:tcPr>
            <w:tcW w:w="1620" w:type="dxa"/>
            <w:tcBorders>
              <w:top w:val="nil"/>
              <w:left w:val="nil"/>
              <w:bottom w:val="nil"/>
              <w:right w:val="nil"/>
            </w:tcBorders>
            <w:tcMar>
              <w:top w:w="0" w:type="dxa"/>
              <w:left w:w="60" w:type="dxa"/>
              <w:bottom w:w="0" w:type="dxa"/>
              <w:right w:w="60" w:type="dxa"/>
            </w:tcMar>
            <w:vAlign w:val="bottom"/>
          </w:tcPr>
          <w:p w14:paraId="3E1C6462" w14:textId="77777777" w:rsidR="00587C76" w:rsidRPr="008C61C4" w:rsidRDefault="00587C76" w:rsidP="007B6871">
            <w:pPr>
              <w:pStyle w:val="DMETW1139BIPOrganicReconciliation"/>
              <w:rPr>
                <w:sz w:val="21"/>
                <w:szCs w:val="21"/>
                <w:lang w:val="en-GB"/>
              </w:rPr>
            </w:pPr>
          </w:p>
        </w:tc>
        <w:tc>
          <w:tcPr>
            <w:tcW w:w="1800" w:type="dxa"/>
            <w:tcBorders>
              <w:top w:val="nil"/>
              <w:left w:val="nil"/>
              <w:bottom w:val="nil"/>
              <w:right w:val="nil"/>
            </w:tcBorders>
            <w:tcMar>
              <w:top w:w="0" w:type="dxa"/>
              <w:left w:w="60" w:type="dxa"/>
              <w:bottom w:w="0" w:type="dxa"/>
              <w:right w:w="60" w:type="dxa"/>
            </w:tcMar>
            <w:vAlign w:val="bottom"/>
          </w:tcPr>
          <w:p w14:paraId="6243D798" w14:textId="77777777" w:rsidR="00587C76" w:rsidRPr="008C61C4" w:rsidRDefault="00587C76" w:rsidP="007B6871">
            <w:pPr>
              <w:pStyle w:val="DMETW1139BIPOrganicReconciliation"/>
              <w:rPr>
                <w:sz w:val="21"/>
                <w:szCs w:val="21"/>
                <w:lang w:val="en-GB"/>
              </w:rPr>
            </w:pPr>
          </w:p>
        </w:tc>
        <w:tc>
          <w:tcPr>
            <w:tcW w:w="1533" w:type="dxa"/>
            <w:tcBorders>
              <w:top w:val="nil"/>
              <w:left w:val="nil"/>
              <w:bottom w:val="nil"/>
              <w:right w:val="nil"/>
            </w:tcBorders>
            <w:tcMar>
              <w:top w:w="0" w:type="dxa"/>
              <w:left w:w="60" w:type="dxa"/>
              <w:bottom w:w="0" w:type="dxa"/>
              <w:right w:w="60" w:type="dxa"/>
            </w:tcMar>
            <w:vAlign w:val="bottom"/>
          </w:tcPr>
          <w:p w14:paraId="5FB2D3CF" w14:textId="77777777" w:rsidR="00587C76" w:rsidRPr="008C61C4" w:rsidRDefault="00587C76" w:rsidP="007B6871">
            <w:pPr>
              <w:pStyle w:val="DMETW1139BIPOrganicReconciliation"/>
              <w:rPr>
                <w:sz w:val="21"/>
                <w:szCs w:val="21"/>
                <w:lang w:val="en-GB"/>
              </w:rPr>
            </w:pPr>
          </w:p>
        </w:tc>
      </w:tr>
      <w:tr w:rsidR="00587C76" w:rsidRPr="008C61C4" w14:paraId="51748FEA" w14:textId="77777777" w:rsidTr="00F73AC4">
        <w:trPr>
          <w:trHeight w:val="20"/>
        </w:trPr>
        <w:tc>
          <w:tcPr>
            <w:tcW w:w="3598" w:type="dxa"/>
            <w:tcBorders>
              <w:top w:val="nil"/>
              <w:left w:val="nil"/>
              <w:bottom w:val="nil"/>
              <w:right w:val="nil"/>
            </w:tcBorders>
            <w:tcMar>
              <w:top w:w="0" w:type="dxa"/>
              <w:left w:w="60" w:type="dxa"/>
              <w:bottom w:w="0" w:type="dxa"/>
              <w:right w:w="60" w:type="dxa"/>
            </w:tcMar>
            <w:vAlign w:val="bottom"/>
          </w:tcPr>
          <w:p w14:paraId="156366FF" w14:textId="77777777" w:rsidR="00587C76" w:rsidRPr="008C61C4" w:rsidRDefault="00587C76" w:rsidP="007B6871">
            <w:pPr>
              <w:pStyle w:val="DMETW1139BIPOrganicReconciliation"/>
              <w:rPr>
                <w:sz w:val="21"/>
                <w:szCs w:val="21"/>
                <w:lang w:val="en-GB"/>
              </w:rPr>
            </w:pPr>
          </w:p>
        </w:tc>
        <w:tc>
          <w:tcPr>
            <w:tcW w:w="6213" w:type="dxa"/>
            <w:gridSpan w:val="4"/>
            <w:tcBorders>
              <w:top w:val="single" w:sz="4" w:space="0" w:color="000000"/>
              <w:left w:val="nil"/>
              <w:bottom w:val="single" w:sz="4" w:space="0" w:color="000000"/>
              <w:right w:val="nil"/>
            </w:tcBorders>
            <w:shd w:val="solid" w:color="DADADA" w:fill="FFFFFF"/>
            <w:tcMar>
              <w:top w:w="0" w:type="dxa"/>
              <w:left w:w="60" w:type="dxa"/>
              <w:bottom w:w="0" w:type="dxa"/>
              <w:right w:w="60" w:type="dxa"/>
            </w:tcMar>
            <w:vAlign w:val="center"/>
          </w:tcPr>
          <w:p w14:paraId="2172F02C" w14:textId="0CE89F66" w:rsidR="00587C76" w:rsidRPr="008C61C4" w:rsidRDefault="007A7903" w:rsidP="007B6871">
            <w:pPr>
              <w:pStyle w:val="DMETW1139BIPOrganicReconciliation"/>
              <w:jc w:val="center"/>
              <w:rPr>
                <w:b/>
                <w:sz w:val="21"/>
                <w:szCs w:val="21"/>
                <w:lang w:val="en-GB"/>
              </w:rPr>
            </w:pPr>
            <w:r>
              <w:rPr>
                <w:b/>
                <w:sz w:val="21"/>
                <w:szCs w:val="21"/>
              </w:rPr>
              <w:t>Α’ τρίμηνο</w:t>
            </w:r>
            <w:r w:rsidRPr="008C61C4">
              <w:rPr>
                <w:b/>
                <w:sz w:val="21"/>
                <w:szCs w:val="21"/>
                <w:lang w:val="en-GB"/>
              </w:rPr>
              <w:t xml:space="preserve"> 2022</w:t>
            </w:r>
          </w:p>
        </w:tc>
      </w:tr>
      <w:tr w:rsidR="00F73AC4" w:rsidRPr="008C61C4" w14:paraId="388A8158" w14:textId="77777777" w:rsidTr="00F73AC4">
        <w:trPr>
          <w:trHeight w:val="20"/>
        </w:trPr>
        <w:tc>
          <w:tcPr>
            <w:tcW w:w="3598" w:type="dxa"/>
            <w:tcBorders>
              <w:top w:val="nil"/>
              <w:left w:val="nil"/>
              <w:bottom w:val="nil"/>
              <w:right w:val="nil"/>
            </w:tcBorders>
            <w:tcMar>
              <w:top w:w="0" w:type="dxa"/>
              <w:left w:w="60" w:type="dxa"/>
              <w:bottom w:w="0" w:type="dxa"/>
              <w:right w:w="60" w:type="dxa"/>
            </w:tcMar>
            <w:vAlign w:val="bottom"/>
          </w:tcPr>
          <w:p w14:paraId="18617B4A" w14:textId="77777777" w:rsidR="00F73AC4" w:rsidRDefault="00F73AC4" w:rsidP="007B6871">
            <w:pPr>
              <w:pStyle w:val="DMETW1139BIPOrganicReconciliation"/>
              <w:rPr>
                <w:b/>
                <w:sz w:val="21"/>
                <w:szCs w:val="21"/>
              </w:rPr>
            </w:pPr>
            <w:r>
              <w:rPr>
                <w:b/>
                <w:sz w:val="21"/>
                <w:szCs w:val="21"/>
              </w:rPr>
              <w:t>Καθαρά έσοδα από πωλήσεις</w:t>
            </w:r>
            <w:r w:rsidR="00587C76" w:rsidRPr="00F73AC4">
              <w:rPr>
                <w:b/>
                <w:sz w:val="21"/>
                <w:szCs w:val="21"/>
              </w:rPr>
              <w:t xml:space="preserve"> </w:t>
            </w:r>
          </w:p>
          <w:p w14:paraId="7FC1EC3B" w14:textId="0C1B8F9F" w:rsidR="00587C76" w:rsidRPr="00F73AC4" w:rsidRDefault="00587C76" w:rsidP="007B6871">
            <w:pPr>
              <w:pStyle w:val="DMETW1139BIPOrganicReconciliation"/>
              <w:rPr>
                <w:b/>
                <w:sz w:val="21"/>
                <w:szCs w:val="21"/>
              </w:rPr>
            </w:pPr>
            <w:r w:rsidRPr="00F73AC4">
              <w:rPr>
                <w:b/>
                <w:sz w:val="21"/>
                <w:szCs w:val="21"/>
              </w:rPr>
              <w:t xml:space="preserve">(€ </w:t>
            </w:r>
            <w:r w:rsidR="00F73AC4">
              <w:rPr>
                <w:b/>
                <w:sz w:val="21"/>
                <w:szCs w:val="21"/>
              </w:rPr>
              <w:t>εκατ.</w:t>
            </w:r>
            <w:r w:rsidRPr="00F73AC4">
              <w:rPr>
                <w:b/>
                <w:sz w:val="21"/>
                <w:szCs w:val="21"/>
              </w:rPr>
              <w:t>)</w:t>
            </w:r>
          </w:p>
        </w:tc>
        <w:tc>
          <w:tcPr>
            <w:tcW w:w="1260" w:type="dxa"/>
            <w:tcBorders>
              <w:top w:val="nil"/>
              <w:left w:val="nil"/>
              <w:bottom w:val="nil"/>
              <w:right w:val="nil"/>
            </w:tcBorders>
            <w:shd w:val="solid" w:color="D9D9D9" w:fill="FFFFFF"/>
            <w:tcMar>
              <w:top w:w="0" w:type="dxa"/>
              <w:left w:w="60" w:type="dxa"/>
              <w:bottom w:w="0" w:type="dxa"/>
              <w:right w:w="60" w:type="dxa"/>
            </w:tcMar>
            <w:vAlign w:val="center"/>
          </w:tcPr>
          <w:p w14:paraId="4D9086AC" w14:textId="5EC956F9" w:rsidR="00587C76" w:rsidRPr="00F73AC4" w:rsidRDefault="00F73AC4" w:rsidP="007B6871">
            <w:pPr>
              <w:pStyle w:val="DMETW1139BIPOrganicReconciliation"/>
              <w:jc w:val="right"/>
              <w:rPr>
                <w:b/>
                <w:sz w:val="21"/>
                <w:szCs w:val="21"/>
              </w:rPr>
            </w:pPr>
            <w:r>
              <w:rPr>
                <w:b/>
                <w:sz w:val="21"/>
                <w:szCs w:val="21"/>
              </w:rPr>
              <w:t>Όμιλος</w:t>
            </w:r>
          </w:p>
        </w:tc>
        <w:tc>
          <w:tcPr>
            <w:tcW w:w="1620" w:type="dxa"/>
            <w:tcBorders>
              <w:top w:val="nil"/>
              <w:left w:val="nil"/>
              <w:bottom w:val="nil"/>
              <w:right w:val="nil"/>
            </w:tcBorders>
            <w:shd w:val="solid" w:color="D9D9D9" w:fill="FFFFFF"/>
            <w:tcMar>
              <w:top w:w="0" w:type="dxa"/>
              <w:left w:w="60" w:type="dxa"/>
              <w:bottom w:w="0" w:type="dxa"/>
              <w:right w:w="60" w:type="dxa"/>
            </w:tcMar>
            <w:vAlign w:val="center"/>
          </w:tcPr>
          <w:p w14:paraId="6DC24A6F" w14:textId="77777777" w:rsidR="00F73AC4" w:rsidRDefault="00F73AC4" w:rsidP="00F73AC4">
            <w:pPr>
              <w:pStyle w:val="DMETW1139BIPOrganicReconciliation"/>
              <w:jc w:val="right"/>
              <w:rPr>
                <w:b/>
                <w:sz w:val="21"/>
                <w:szCs w:val="21"/>
              </w:rPr>
            </w:pPr>
            <w:r>
              <w:rPr>
                <w:b/>
                <w:sz w:val="21"/>
                <w:szCs w:val="21"/>
              </w:rPr>
              <w:t>Αναπτυγμένες</w:t>
            </w:r>
          </w:p>
          <w:p w14:paraId="3C8B5C69" w14:textId="51AE7EFB" w:rsidR="00587C76" w:rsidRPr="008C61C4" w:rsidRDefault="00F73AC4" w:rsidP="00F73AC4">
            <w:pPr>
              <w:pStyle w:val="DMETW1139BIPOrganicReconciliation"/>
              <w:jc w:val="right"/>
              <w:rPr>
                <w:b/>
                <w:sz w:val="21"/>
                <w:szCs w:val="21"/>
                <w:lang w:val="en-GB"/>
              </w:rPr>
            </w:pPr>
            <w:r>
              <w:rPr>
                <w:b/>
                <w:sz w:val="21"/>
                <w:szCs w:val="21"/>
              </w:rPr>
              <w:t>αγορές</w:t>
            </w:r>
          </w:p>
        </w:tc>
        <w:tc>
          <w:tcPr>
            <w:tcW w:w="1800" w:type="dxa"/>
            <w:tcBorders>
              <w:top w:val="nil"/>
              <w:left w:val="nil"/>
              <w:bottom w:val="nil"/>
              <w:right w:val="nil"/>
            </w:tcBorders>
            <w:shd w:val="solid" w:color="D9D9D9" w:fill="FFFFFF"/>
            <w:tcMar>
              <w:top w:w="0" w:type="dxa"/>
              <w:left w:w="60" w:type="dxa"/>
              <w:bottom w:w="0" w:type="dxa"/>
              <w:right w:w="60" w:type="dxa"/>
            </w:tcMar>
            <w:vAlign w:val="center"/>
          </w:tcPr>
          <w:p w14:paraId="4964FF83" w14:textId="167FC988" w:rsidR="00587C76" w:rsidRPr="008C61C4" w:rsidRDefault="00F73AC4" w:rsidP="007B6871">
            <w:pPr>
              <w:pStyle w:val="DMETW1139BIPOrganicReconciliation"/>
              <w:jc w:val="right"/>
              <w:rPr>
                <w:b/>
                <w:sz w:val="21"/>
                <w:szCs w:val="21"/>
                <w:lang w:val="en-GB"/>
              </w:rPr>
            </w:pPr>
            <w:r>
              <w:rPr>
                <w:b/>
                <w:sz w:val="21"/>
                <w:szCs w:val="21"/>
              </w:rPr>
              <w:t>Αναπτυσσόμενες αγορές</w:t>
            </w:r>
          </w:p>
        </w:tc>
        <w:tc>
          <w:tcPr>
            <w:tcW w:w="1533" w:type="dxa"/>
            <w:tcBorders>
              <w:top w:val="nil"/>
              <w:left w:val="nil"/>
              <w:bottom w:val="nil"/>
              <w:right w:val="nil"/>
            </w:tcBorders>
            <w:shd w:val="solid" w:color="D9D9D9" w:fill="FFFFFF"/>
            <w:tcMar>
              <w:top w:w="0" w:type="dxa"/>
              <w:left w:w="60" w:type="dxa"/>
              <w:bottom w:w="0" w:type="dxa"/>
              <w:right w:w="60" w:type="dxa"/>
            </w:tcMar>
            <w:vAlign w:val="center"/>
          </w:tcPr>
          <w:p w14:paraId="42AB167D" w14:textId="6DFC9224" w:rsidR="00587C76" w:rsidRPr="008C61C4" w:rsidRDefault="00F73AC4" w:rsidP="007B6871">
            <w:pPr>
              <w:pStyle w:val="DMETW1139BIPOrganicReconciliation"/>
              <w:jc w:val="right"/>
              <w:rPr>
                <w:b/>
                <w:sz w:val="21"/>
                <w:szCs w:val="21"/>
                <w:lang w:val="en-GB"/>
              </w:rPr>
            </w:pPr>
            <w:r>
              <w:rPr>
                <w:b/>
                <w:sz w:val="21"/>
                <w:szCs w:val="21"/>
              </w:rPr>
              <w:t>Αναδυόμενες αγορές</w:t>
            </w:r>
          </w:p>
        </w:tc>
      </w:tr>
      <w:tr w:rsidR="00587C76" w:rsidRPr="008C61C4" w14:paraId="60E00494" w14:textId="77777777" w:rsidTr="00F73AC4">
        <w:trPr>
          <w:trHeight w:val="20"/>
        </w:trPr>
        <w:tc>
          <w:tcPr>
            <w:tcW w:w="3598" w:type="dxa"/>
            <w:tcBorders>
              <w:top w:val="nil"/>
              <w:left w:val="nil"/>
              <w:bottom w:val="nil"/>
              <w:right w:val="nil"/>
            </w:tcBorders>
            <w:tcMar>
              <w:top w:w="0" w:type="dxa"/>
              <w:left w:w="60" w:type="dxa"/>
              <w:bottom w:w="0" w:type="dxa"/>
              <w:right w:w="60" w:type="dxa"/>
            </w:tcMar>
            <w:vAlign w:val="bottom"/>
          </w:tcPr>
          <w:p w14:paraId="3490CED5" w14:textId="654E0778" w:rsidR="00587C76" w:rsidRPr="004D75B0" w:rsidRDefault="00587C76" w:rsidP="007B6871">
            <w:pPr>
              <w:pStyle w:val="DMETW1139BIPOrganicReconciliation"/>
              <w:rPr>
                <w:sz w:val="21"/>
                <w:szCs w:val="21"/>
              </w:rPr>
            </w:pPr>
            <w:r w:rsidRPr="008C61C4">
              <w:rPr>
                <w:sz w:val="21"/>
                <w:szCs w:val="21"/>
                <w:lang w:val="en-GB"/>
              </w:rPr>
              <w:t xml:space="preserve">2021 </w:t>
            </w:r>
            <w:r w:rsidR="00F73AC4">
              <w:rPr>
                <w:sz w:val="21"/>
                <w:szCs w:val="21"/>
              </w:rPr>
              <w:t>δημοσιευμένα</w:t>
            </w:r>
            <w:r w:rsidR="004D75B0">
              <w:rPr>
                <w:sz w:val="21"/>
                <w:szCs w:val="21"/>
                <w:lang w:val="en-GB"/>
              </w:rPr>
              <w:t xml:space="preserve"> </w:t>
            </w:r>
            <w:r w:rsidR="004D75B0">
              <w:rPr>
                <w:sz w:val="21"/>
                <w:szCs w:val="21"/>
              </w:rPr>
              <w:t>μεγέθη</w:t>
            </w:r>
          </w:p>
        </w:tc>
        <w:tc>
          <w:tcPr>
            <w:tcW w:w="1260" w:type="dxa"/>
            <w:tcBorders>
              <w:top w:val="nil"/>
              <w:left w:val="nil"/>
              <w:bottom w:val="nil"/>
              <w:right w:val="nil"/>
            </w:tcBorders>
            <w:tcMar>
              <w:top w:w="0" w:type="dxa"/>
              <w:left w:w="0" w:type="dxa"/>
              <w:bottom w:w="0" w:type="dxa"/>
              <w:right w:w="0" w:type="dxa"/>
            </w:tcMar>
            <w:vAlign w:val="bottom"/>
          </w:tcPr>
          <w:p w14:paraId="325B8E42" w14:textId="763231D6" w:rsidR="00587C76" w:rsidRPr="008C61C4" w:rsidRDefault="00587C76" w:rsidP="007B6871">
            <w:pPr>
              <w:pStyle w:val="DMETW1139BIPOrganicReconciliation"/>
              <w:tabs>
                <w:tab w:val="decimal" w:pos="1452"/>
              </w:tabs>
              <w:rPr>
                <w:b/>
                <w:sz w:val="21"/>
                <w:szCs w:val="21"/>
                <w:lang w:val="en-GB"/>
              </w:rPr>
            </w:pPr>
            <w:r w:rsidRPr="008C61C4">
              <w:rPr>
                <w:b/>
                <w:sz w:val="21"/>
                <w:szCs w:val="21"/>
                <w:lang w:val="en-GB"/>
              </w:rPr>
              <w:t xml:space="preserve"> 1</w:t>
            </w:r>
            <w:r w:rsidR="005A53DC">
              <w:rPr>
                <w:b/>
                <w:sz w:val="21"/>
                <w:szCs w:val="21"/>
              </w:rPr>
              <w:t>.</w:t>
            </w:r>
            <w:r w:rsidRPr="008C61C4">
              <w:rPr>
                <w:b/>
                <w:sz w:val="21"/>
                <w:szCs w:val="21"/>
                <w:lang w:val="en-GB"/>
              </w:rPr>
              <w:t>352</w:t>
            </w:r>
            <w:r w:rsidR="005A53DC">
              <w:rPr>
                <w:b/>
                <w:sz w:val="21"/>
                <w:szCs w:val="21"/>
              </w:rPr>
              <w:t>,</w:t>
            </w:r>
            <w:r w:rsidRPr="008C61C4">
              <w:rPr>
                <w:b/>
                <w:sz w:val="21"/>
                <w:szCs w:val="21"/>
                <w:lang w:val="en-GB"/>
              </w:rPr>
              <w:t>1</w:t>
            </w:r>
          </w:p>
        </w:tc>
        <w:tc>
          <w:tcPr>
            <w:tcW w:w="1620" w:type="dxa"/>
            <w:tcBorders>
              <w:top w:val="nil"/>
              <w:left w:val="nil"/>
              <w:bottom w:val="nil"/>
              <w:right w:val="nil"/>
            </w:tcBorders>
            <w:tcMar>
              <w:top w:w="0" w:type="dxa"/>
              <w:left w:w="0" w:type="dxa"/>
              <w:bottom w:w="0" w:type="dxa"/>
              <w:right w:w="0" w:type="dxa"/>
            </w:tcMar>
            <w:vAlign w:val="bottom"/>
          </w:tcPr>
          <w:p w14:paraId="7D6D3B63" w14:textId="346C9162" w:rsidR="00587C76" w:rsidRPr="008C61C4" w:rsidRDefault="00587C76" w:rsidP="005A53DC">
            <w:pPr>
              <w:pStyle w:val="DMETW1139BIPOrganicReconciliation"/>
              <w:tabs>
                <w:tab w:val="decimal" w:pos="1452"/>
              </w:tabs>
              <w:jc w:val="right"/>
              <w:rPr>
                <w:sz w:val="21"/>
                <w:szCs w:val="21"/>
                <w:lang w:val="en-GB"/>
              </w:rPr>
            </w:pPr>
            <w:r w:rsidRPr="008C61C4">
              <w:rPr>
                <w:sz w:val="21"/>
                <w:szCs w:val="21"/>
                <w:lang w:val="en-GB"/>
              </w:rPr>
              <w:t xml:space="preserve"> 481</w:t>
            </w:r>
            <w:r w:rsidR="005A53DC">
              <w:rPr>
                <w:sz w:val="21"/>
                <w:szCs w:val="21"/>
              </w:rPr>
              <w:t>,</w:t>
            </w:r>
            <w:r w:rsidRPr="008C61C4">
              <w:rPr>
                <w:sz w:val="21"/>
                <w:szCs w:val="21"/>
                <w:lang w:val="en-GB"/>
              </w:rPr>
              <w:t>1</w:t>
            </w:r>
          </w:p>
        </w:tc>
        <w:tc>
          <w:tcPr>
            <w:tcW w:w="1800" w:type="dxa"/>
            <w:tcBorders>
              <w:top w:val="nil"/>
              <w:left w:val="nil"/>
              <w:bottom w:val="nil"/>
              <w:right w:val="nil"/>
            </w:tcBorders>
            <w:tcMar>
              <w:top w:w="0" w:type="dxa"/>
              <w:left w:w="0" w:type="dxa"/>
              <w:bottom w:w="0" w:type="dxa"/>
              <w:right w:w="0" w:type="dxa"/>
            </w:tcMar>
            <w:vAlign w:val="bottom"/>
          </w:tcPr>
          <w:p w14:paraId="628C34C2" w14:textId="091E65F8" w:rsidR="00587C76" w:rsidRPr="008C61C4" w:rsidRDefault="00587C76" w:rsidP="005A53DC">
            <w:pPr>
              <w:pStyle w:val="DMETW1139BIPOrganicReconciliation"/>
              <w:tabs>
                <w:tab w:val="decimal" w:pos="1482"/>
              </w:tabs>
              <w:jc w:val="right"/>
              <w:rPr>
                <w:sz w:val="21"/>
                <w:szCs w:val="21"/>
                <w:lang w:val="en-GB"/>
              </w:rPr>
            </w:pPr>
            <w:r w:rsidRPr="008C61C4">
              <w:rPr>
                <w:sz w:val="21"/>
                <w:szCs w:val="21"/>
                <w:lang w:val="en-GB"/>
              </w:rPr>
              <w:t xml:space="preserve"> 236</w:t>
            </w:r>
            <w:r w:rsidR="005A53DC">
              <w:rPr>
                <w:sz w:val="21"/>
                <w:szCs w:val="21"/>
              </w:rPr>
              <w:t>,</w:t>
            </w:r>
            <w:r w:rsidRPr="008C61C4">
              <w:rPr>
                <w:sz w:val="21"/>
                <w:szCs w:val="21"/>
                <w:lang w:val="en-GB"/>
              </w:rPr>
              <w:t>7</w:t>
            </w:r>
          </w:p>
        </w:tc>
        <w:tc>
          <w:tcPr>
            <w:tcW w:w="1533" w:type="dxa"/>
            <w:tcBorders>
              <w:top w:val="nil"/>
              <w:left w:val="nil"/>
              <w:bottom w:val="nil"/>
              <w:right w:val="nil"/>
            </w:tcBorders>
            <w:tcMar>
              <w:top w:w="0" w:type="dxa"/>
              <w:left w:w="0" w:type="dxa"/>
              <w:bottom w:w="0" w:type="dxa"/>
              <w:right w:w="0" w:type="dxa"/>
            </w:tcMar>
            <w:vAlign w:val="bottom"/>
          </w:tcPr>
          <w:p w14:paraId="37D0D09E" w14:textId="4C0E96C9" w:rsidR="00587C76" w:rsidRPr="008C61C4" w:rsidRDefault="00587C76" w:rsidP="005A53DC">
            <w:pPr>
              <w:pStyle w:val="DMETW1139BIPOrganicReconciliation"/>
              <w:tabs>
                <w:tab w:val="decimal" w:pos="1482"/>
              </w:tabs>
              <w:jc w:val="right"/>
              <w:rPr>
                <w:sz w:val="21"/>
                <w:szCs w:val="21"/>
                <w:lang w:val="en-GB"/>
              </w:rPr>
            </w:pPr>
            <w:r w:rsidRPr="008C61C4">
              <w:rPr>
                <w:sz w:val="21"/>
                <w:szCs w:val="21"/>
                <w:lang w:val="en-GB"/>
              </w:rPr>
              <w:t xml:space="preserve"> 634</w:t>
            </w:r>
            <w:r w:rsidR="005A53DC">
              <w:rPr>
                <w:sz w:val="21"/>
                <w:szCs w:val="21"/>
              </w:rPr>
              <w:t>,</w:t>
            </w:r>
            <w:r w:rsidRPr="008C61C4">
              <w:rPr>
                <w:sz w:val="21"/>
                <w:szCs w:val="21"/>
                <w:lang w:val="en-GB"/>
              </w:rPr>
              <w:t>3</w:t>
            </w:r>
          </w:p>
        </w:tc>
      </w:tr>
      <w:tr w:rsidR="00587C76" w:rsidRPr="008C61C4" w14:paraId="2C18F6BF" w14:textId="77777777" w:rsidTr="00F73AC4">
        <w:trPr>
          <w:trHeight w:val="20"/>
        </w:trPr>
        <w:tc>
          <w:tcPr>
            <w:tcW w:w="3598" w:type="dxa"/>
            <w:tcBorders>
              <w:top w:val="nil"/>
              <w:left w:val="nil"/>
              <w:bottom w:val="nil"/>
              <w:right w:val="nil"/>
            </w:tcBorders>
            <w:tcMar>
              <w:top w:w="0" w:type="dxa"/>
              <w:left w:w="60" w:type="dxa"/>
              <w:bottom w:w="0" w:type="dxa"/>
              <w:right w:w="60" w:type="dxa"/>
            </w:tcMar>
            <w:vAlign w:val="bottom"/>
          </w:tcPr>
          <w:p w14:paraId="0D1C910A" w14:textId="520F2E67" w:rsidR="00587C76" w:rsidRPr="00F73AC4" w:rsidRDefault="00F73AC4" w:rsidP="007B6871">
            <w:pPr>
              <w:pStyle w:val="DMETW1139BIPOrganicReconciliation"/>
              <w:rPr>
                <w:sz w:val="21"/>
                <w:szCs w:val="21"/>
              </w:rPr>
            </w:pPr>
            <w:r>
              <w:rPr>
                <w:sz w:val="21"/>
                <w:szCs w:val="21"/>
              </w:rPr>
              <w:t>Συναλλαγματική επίδραση</w:t>
            </w:r>
          </w:p>
        </w:tc>
        <w:tc>
          <w:tcPr>
            <w:tcW w:w="1260" w:type="dxa"/>
            <w:tcBorders>
              <w:top w:val="nil"/>
              <w:left w:val="nil"/>
              <w:bottom w:val="nil"/>
              <w:right w:val="nil"/>
            </w:tcBorders>
            <w:tcMar>
              <w:top w:w="0" w:type="dxa"/>
              <w:left w:w="0" w:type="dxa"/>
              <w:bottom w:w="0" w:type="dxa"/>
              <w:right w:w="0" w:type="dxa"/>
            </w:tcMar>
            <w:vAlign w:val="bottom"/>
          </w:tcPr>
          <w:p w14:paraId="1BF4D5FF" w14:textId="13E8700B" w:rsidR="00587C76" w:rsidRPr="008C61C4" w:rsidRDefault="00587C76" w:rsidP="007B6871">
            <w:pPr>
              <w:pStyle w:val="DMETW1139BIPOrganicReconciliation"/>
              <w:tabs>
                <w:tab w:val="decimal" w:pos="1452"/>
              </w:tabs>
              <w:rPr>
                <w:b/>
                <w:sz w:val="21"/>
                <w:szCs w:val="21"/>
                <w:lang w:val="en-GB"/>
              </w:rPr>
            </w:pPr>
            <w:r w:rsidRPr="008C61C4">
              <w:rPr>
                <w:b/>
                <w:sz w:val="21"/>
                <w:szCs w:val="21"/>
                <w:lang w:val="en-GB"/>
              </w:rPr>
              <w:t xml:space="preserve"> (2</w:t>
            </w:r>
            <w:r w:rsidR="005A53DC">
              <w:rPr>
                <w:b/>
                <w:sz w:val="21"/>
                <w:szCs w:val="21"/>
              </w:rPr>
              <w:t>,</w:t>
            </w:r>
            <w:r w:rsidRPr="008C61C4">
              <w:rPr>
                <w:b/>
                <w:sz w:val="21"/>
                <w:szCs w:val="21"/>
                <w:lang w:val="en-GB"/>
              </w:rPr>
              <w:t>9)</w:t>
            </w:r>
          </w:p>
        </w:tc>
        <w:tc>
          <w:tcPr>
            <w:tcW w:w="1620" w:type="dxa"/>
            <w:tcBorders>
              <w:top w:val="nil"/>
              <w:left w:val="nil"/>
              <w:bottom w:val="nil"/>
              <w:right w:val="nil"/>
            </w:tcBorders>
            <w:tcMar>
              <w:top w:w="0" w:type="dxa"/>
              <w:left w:w="0" w:type="dxa"/>
              <w:bottom w:w="0" w:type="dxa"/>
              <w:right w:w="0" w:type="dxa"/>
            </w:tcMar>
            <w:vAlign w:val="bottom"/>
          </w:tcPr>
          <w:p w14:paraId="1AC2554E" w14:textId="6CFE3ED6" w:rsidR="00587C76" w:rsidRPr="008C61C4" w:rsidRDefault="00587C76" w:rsidP="005A53DC">
            <w:pPr>
              <w:pStyle w:val="DMETW1139BIPOrganicReconciliation"/>
              <w:tabs>
                <w:tab w:val="decimal" w:pos="1452"/>
              </w:tabs>
              <w:jc w:val="right"/>
              <w:rPr>
                <w:sz w:val="21"/>
                <w:szCs w:val="21"/>
                <w:lang w:val="en-GB"/>
              </w:rPr>
            </w:pPr>
            <w:r w:rsidRPr="008C61C4">
              <w:rPr>
                <w:sz w:val="21"/>
                <w:szCs w:val="21"/>
                <w:lang w:val="en-GB"/>
              </w:rPr>
              <w:t xml:space="preserve"> 5</w:t>
            </w:r>
            <w:r w:rsidR="005A53DC">
              <w:rPr>
                <w:sz w:val="21"/>
                <w:szCs w:val="21"/>
              </w:rPr>
              <w:t>,</w:t>
            </w:r>
            <w:r w:rsidRPr="008C61C4">
              <w:rPr>
                <w:sz w:val="21"/>
                <w:szCs w:val="21"/>
                <w:lang w:val="en-GB"/>
              </w:rPr>
              <w:t>4</w:t>
            </w:r>
          </w:p>
        </w:tc>
        <w:tc>
          <w:tcPr>
            <w:tcW w:w="1800" w:type="dxa"/>
            <w:tcBorders>
              <w:top w:val="nil"/>
              <w:left w:val="nil"/>
              <w:bottom w:val="nil"/>
              <w:right w:val="nil"/>
            </w:tcBorders>
            <w:tcMar>
              <w:top w:w="0" w:type="dxa"/>
              <w:left w:w="0" w:type="dxa"/>
              <w:bottom w:w="0" w:type="dxa"/>
              <w:right w:w="0" w:type="dxa"/>
            </w:tcMar>
            <w:vAlign w:val="bottom"/>
          </w:tcPr>
          <w:p w14:paraId="2C4F579F" w14:textId="57820873" w:rsidR="00587C76" w:rsidRPr="008C61C4" w:rsidRDefault="00587C76" w:rsidP="005A53DC">
            <w:pPr>
              <w:pStyle w:val="DMETW1139BIPOrganicReconciliation"/>
              <w:tabs>
                <w:tab w:val="decimal" w:pos="1482"/>
              </w:tabs>
              <w:jc w:val="right"/>
              <w:rPr>
                <w:sz w:val="21"/>
                <w:szCs w:val="21"/>
                <w:lang w:val="en-GB"/>
              </w:rPr>
            </w:pPr>
            <w:r w:rsidRPr="008C61C4">
              <w:rPr>
                <w:sz w:val="21"/>
                <w:szCs w:val="21"/>
                <w:lang w:val="en-GB"/>
              </w:rPr>
              <w:t xml:space="preserve"> (0</w:t>
            </w:r>
            <w:r w:rsidR="005A53DC">
              <w:rPr>
                <w:sz w:val="21"/>
                <w:szCs w:val="21"/>
              </w:rPr>
              <w:t>,</w:t>
            </w:r>
            <w:r w:rsidRPr="008C61C4">
              <w:rPr>
                <w:sz w:val="21"/>
                <w:szCs w:val="21"/>
                <w:lang w:val="en-GB"/>
              </w:rPr>
              <w:t>4)</w:t>
            </w:r>
          </w:p>
        </w:tc>
        <w:tc>
          <w:tcPr>
            <w:tcW w:w="1533" w:type="dxa"/>
            <w:tcBorders>
              <w:top w:val="nil"/>
              <w:left w:val="nil"/>
              <w:bottom w:val="nil"/>
              <w:right w:val="nil"/>
            </w:tcBorders>
            <w:tcMar>
              <w:top w:w="0" w:type="dxa"/>
              <w:left w:w="0" w:type="dxa"/>
              <w:bottom w:w="0" w:type="dxa"/>
              <w:right w:w="0" w:type="dxa"/>
            </w:tcMar>
            <w:vAlign w:val="bottom"/>
          </w:tcPr>
          <w:p w14:paraId="7AE130C5" w14:textId="1CF07F33" w:rsidR="00587C76" w:rsidRPr="008C61C4" w:rsidRDefault="00587C76" w:rsidP="005A53DC">
            <w:pPr>
              <w:pStyle w:val="DMETW1139BIPOrganicReconciliation"/>
              <w:tabs>
                <w:tab w:val="decimal" w:pos="1482"/>
              </w:tabs>
              <w:jc w:val="right"/>
              <w:rPr>
                <w:sz w:val="21"/>
                <w:szCs w:val="21"/>
                <w:lang w:val="en-GB"/>
              </w:rPr>
            </w:pPr>
            <w:r w:rsidRPr="008C61C4">
              <w:rPr>
                <w:sz w:val="21"/>
                <w:szCs w:val="21"/>
                <w:lang w:val="en-GB"/>
              </w:rPr>
              <w:t xml:space="preserve"> (7</w:t>
            </w:r>
            <w:r w:rsidR="005A53DC">
              <w:rPr>
                <w:sz w:val="21"/>
                <w:szCs w:val="21"/>
              </w:rPr>
              <w:t>,</w:t>
            </w:r>
            <w:r w:rsidRPr="008C61C4">
              <w:rPr>
                <w:sz w:val="21"/>
                <w:szCs w:val="21"/>
                <w:lang w:val="en-GB"/>
              </w:rPr>
              <w:t>9)</w:t>
            </w:r>
          </w:p>
        </w:tc>
      </w:tr>
      <w:tr w:rsidR="00587C76" w:rsidRPr="008C61C4" w14:paraId="2D59DA7E" w14:textId="77777777" w:rsidTr="00F73AC4">
        <w:trPr>
          <w:trHeight w:val="20"/>
        </w:trPr>
        <w:tc>
          <w:tcPr>
            <w:tcW w:w="3598" w:type="dxa"/>
            <w:tcBorders>
              <w:top w:val="nil"/>
              <w:left w:val="nil"/>
              <w:bottom w:val="nil"/>
              <w:right w:val="nil"/>
            </w:tcBorders>
            <w:tcMar>
              <w:top w:w="0" w:type="dxa"/>
              <w:left w:w="60" w:type="dxa"/>
              <w:bottom w:w="0" w:type="dxa"/>
              <w:right w:w="60" w:type="dxa"/>
            </w:tcMar>
            <w:vAlign w:val="bottom"/>
          </w:tcPr>
          <w:p w14:paraId="54BEB68E" w14:textId="137D73A4" w:rsidR="00587C76" w:rsidRPr="00F73AC4" w:rsidRDefault="00587C76" w:rsidP="007B6871">
            <w:pPr>
              <w:pStyle w:val="DMETW1139BIPOrganicReconciliation"/>
              <w:rPr>
                <w:sz w:val="21"/>
                <w:szCs w:val="21"/>
              </w:rPr>
            </w:pPr>
            <w:r w:rsidRPr="008C61C4">
              <w:rPr>
                <w:sz w:val="21"/>
                <w:szCs w:val="21"/>
                <w:lang w:val="en-GB"/>
              </w:rPr>
              <w:t xml:space="preserve">2021 </w:t>
            </w:r>
            <w:r w:rsidR="00F73AC4">
              <w:rPr>
                <w:sz w:val="21"/>
                <w:szCs w:val="21"/>
              </w:rPr>
              <w:t>προσαρμοσμένα</w:t>
            </w:r>
            <w:r w:rsidR="004D75B0">
              <w:rPr>
                <w:sz w:val="21"/>
                <w:szCs w:val="21"/>
              </w:rPr>
              <w:t xml:space="preserve"> μεγέθη</w:t>
            </w:r>
          </w:p>
        </w:tc>
        <w:tc>
          <w:tcPr>
            <w:tcW w:w="1260" w:type="dxa"/>
            <w:tcBorders>
              <w:top w:val="nil"/>
              <w:left w:val="nil"/>
              <w:bottom w:val="nil"/>
              <w:right w:val="nil"/>
            </w:tcBorders>
            <w:tcMar>
              <w:top w:w="0" w:type="dxa"/>
              <w:left w:w="0" w:type="dxa"/>
              <w:bottom w:w="0" w:type="dxa"/>
              <w:right w:w="0" w:type="dxa"/>
            </w:tcMar>
            <w:vAlign w:val="bottom"/>
          </w:tcPr>
          <w:p w14:paraId="336E5621" w14:textId="354D09AD" w:rsidR="00587C76" w:rsidRPr="008C61C4" w:rsidRDefault="00587C76" w:rsidP="007B6871">
            <w:pPr>
              <w:pStyle w:val="DMETW1139BIPOrganicReconciliation"/>
              <w:tabs>
                <w:tab w:val="decimal" w:pos="1452"/>
              </w:tabs>
              <w:rPr>
                <w:b/>
                <w:sz w:val="21"/>
                <w:szCs w:val="21"/>
                <w:lang w:val="en-GB"/>
              </w:rPr>
            </w:pPr>
            <w:r w:rsidRPr="008C61C4">
              <w:rPr>
                <w:b/>
                <w:sz w:val="21"/>
                <w:szCs w:val="21"/>
                <w:lang w:val="en-GB"/>
              </w:rPr>
              <w:t xml:space="preserve"> 1</w:t>
            </w:r>
            <w:r w:rsidR="005A53DC">
              <w:rPr>
                <w:b/>
                <w:sz w:val="21"/>
                <w:szCs w:val="21"/>
              </w:rPr>
              <w:t>.</w:t>
            </w:r>
            <w:r w:rsidRPr="008C61C4">
              <w:rPr>
                <w:b/>
                <w:sz w:val="21"/>
                <w:szCs w:val="21"/>
                <w:lang w:val="en-GB"/>
              </w:rPr>
              <w:t>349</w:t>
            </w:r>
            <w:r w:rsidR="005A53DC">
              <w:rPr>
                <w:b/>
                <w:sz w:val="21"/>
                <w:szCs w:val="21"/>
              </w:rPr>
              <w:t>,</w:t>
            </w:r>
            <w:r w:rsidRPr="008C61C4">
              <w:rPr>
                <w:b/>
                <w:sz w:val="21"/>
                <w:szCs w:val="21"/>
                <w:lang w:val="en-GB"/>
              </w:rPr>
              <w:t>2</w:t>
            </w:r>
          </w:p>
        </w:tc>
        <w:tc>
          <w:tcPr>
            <w:tcW w:w="1620" w:type="dxa"/>
            <w:tcBorders>
              <w:top w:val="nil"/>
              <w:left w:val="nil"/>
              <w:bottom w:val="nil"/>
              <w:right w:val="nil"/>
            </w:tcBorders>
            <w:tcMar>
              <w:top w:w="0" w:type="dxa"/>
              <w:left w:w="0" w:type="dxa"/>
              <w:bottom w:w="0" w:type="dxa"/>
              <w:right w:w="0" w:type="dxa"/>
            </w:tcMar>
            <w:vAlign w:val="bottom"/>
          </w:tcPr>
          <w:p w14:paraId="2AEB0316" w14:textId="01CD103D" w:rsidR="00587C76" w:rsidRPr="008C61C4" w:rsidRDefault="00587C76" w:rsidP="005A53DC">
            <w:pPr>
              <w:pStyle w:val="DMETW1139BIPOrganicReconciliation"/>
              <w:tabs>
                <w:tab w:val="decimal" w:pos="1452"/>
              </w:tabs>
              <w:jc w:val="right"/>
              <w:rPr>
                <w:sz w:val="21"/>
                <w:szCs w:val="21"/>
                <w:lang w:val="en-GB"/>
              </w:rPr>
            </w:pPr>
            <w:r w:rsidRPr="008C61C4">
              <w:rPr>
                <w:sz w:val="21"/>
                <w:szCs w:val="21"/>
                <w:lang w:val="en-GB"/>
              </w:rPr>
              <w:t xml:space="preserve"> 486</w:t>
            </w:r>
            <w:r w:rsidR="005A53DC">
              <w:rPr>
                <w:sz w:val="21"/>
                <w:szCs w:val="21"/>
              </w:rPr>
              <w:t>,</w:t>
            </w:r>
            <w:r w:rsidRPr="008C61C4">
              <w:rPr>
                <w:sz w:val="21"/>
                <w:szCs w:val="21"/>
                <w:lang w:val="en-GB"/>
              </w:rPr>
              <w:t>5</w:t>
            </w:r>
          </w:p>
        </w:tc>
        <w:tc>
          <w:tcPr>
            <w:tcW w:w="1800" w:type="dxa"/>
            <w:tcBorders>
              <w:top w:val="nil"/>
              <w:left w:val="nil"/>
              <w:bottom w:val="nil"/>
              <w:right w:val="nil"/>
            </w:tcBorders>
            <w:tcMar>
              <w:top w:w="0" w:type="dxa"/>
              <w:left w:w="0" w:type="dxa"/>
              <w:bottom w:w="0" w:type="dxa"/>
              <w:right w:w="0" w:type="dxa"/>
            </w:tcMar>
            <w:vAlign w:val="bottom"/>
          </w:tcPr>
          <w:p w14:paraId="14E22754" w14:textId="37DC474E" w:rsidR="00587C76" w:rsidRPr="008C61C4" w:rsidRDefault="00587C76" w:rsidP="005A53DC">
            <w:pPr>
              <w:pStyle w:val="DMETW1139BIPOrganicReconciliation"/>
              <w:tabs>
                <w:tab w:val="decimal" w:pos="1482"/>
              </w:tabs>
              <w:jc w:val="right"/>
              <w:rPr>
                <w:sz w:val="21"/>
                <w:szCs w:val="21"/>
                <w:lang w:val="en-GB"/>
              </w:rPr>
            </w:pPr>
            <w:r w:rsidRPr="008C61C4">
              <w:rPr>
                <w:sz w:val="21"/>
                <w:szCs w:val="21"/>
                <w:lang w:val="en-GB"/>
              </w:rPr>
              <w:t xml:space="preserve"> 236</w:t>
            </w:r>
            <w:r w:rsidR="005A53DC">
              <w:rPr>
                <w:sz w:val="21"/>
                <w:szCs w:val="21"/>
              </w:rPr>
              <w:t>,</w:t>
            </w:r>
            <w:r w:rsidRPr="008C61C4">
              <w:rPr>
                <w:sz w:val="21"/>
                <w:szCs w:val="21"/>
                <w:lang w:val="en-GB"/>
              </w:rPr>
              <w:t>3</w:t>
            </w:r>
          </w:p>
        </w:tc>
        <w:tc>
          <w:tcPr>
            <w:tcW w:w="1533" w:type="dxa"/>
            <w:tcBorders>
              <w:top w:val="nil"/>
              <w:left w:val="nil"/>
              <w:bottom w:val="nil"/>
              <w:right w:val="nil"/>
            </w:tcBorders>
            <w:tcMar>
              <w:top w:w="0" w:type="dxa"/>
              <w:left w:w="0" w:type="dxa"/>
              <w:bottom w:w="0" w:type="dxa"/>
              <w:right w:w="0" w:type="dxa"/>
            </w:tcMar>
            <w:vAlign w:val="bottom"/>
          </w:tcPr>
          <w:p w14:paraId="430B8E2B" w14:textId="5C32D0FD" w:rsidR="00587C76" w:rsidRPr="008C61C4" w:rsidRDefault="00587C76" w:rsidP="005A53DC">
            <w:pPr>
              <w:pStyle w:val="DMETW1139BIPOrganicReconciliation"/>
              <w:tabs>
                <w:tab w:val="decimal" w:pos="1482"/>
              </w:tabs>
              <w:jc w:val="right"/>
              <w:rPr>
                <w:sz w:val="21"/>
                <w:szCs w:val="21"/>
                <w:lang w:val="en-GB"/>
              </w:rPr>
            </w:pPr>
            <w:r w:rsidRPr="008C61C4">
              <w:rPr>
                <w:sz w:val="21"/>
                <w:szCs w:val="21"/>
                <w:lang w:val="en-GB"/>
              </w:rPr>
              <w:t xml:space="preserve"> 626</w:t>
            </w:r>
            <w:r w:rsidR="005A53DC">
              <w:rPr>
                <w:sz w:val="21"/>
                <w:szCs w:val="21"/>
              </w:rPr>
              <w:t>,</w:t>
            </w:r>
            <w:r w:rsidRPr="008C61C4">
              <w:rPr>
                <w:sz w:val="21"/>
                <w:szCs w:val="21"/>
                <w:lang w:val="en-GB"/>
              </w:rPr>
              <w:t>4</w:t>
            </w:r>
          </w:p>
        </w:tc>
      </w:tr>
      <w:tr w:rsidR="00587C76" w:rsidRPr="008C61C4" w14:paraId="148E1E68" w14:textId="77777777" w:rsidTr="00F73AC4">
        <w:trPr>
          <w:trHeight w:val="20"/>
        </w:trPr>
        <w:tc>
          <w:tcPr>
            <w:tcW w:w="3598" w:type="dxa"/>
            <w:tcBorders>
              <w:top w:val="nil"/>
              <w:left w:val="nil"/>
              <w:bottom w:val="nil"/>
              <w:right w:val="nil"/>
            </w:tcBorders>
            <w:tcMar>
              <w:top w:w="0" w:type="dxa"/>
              <w:left w:w="60" w:type="dxa"/>
              <w:bottom w:w="0" w:type="dxa"/>
              <w:right w:w="60" w:type="dxa"/>
            </w:tcMar>
            <w:vAlign w:val="bottom"/>
          </w:tcPr>
          <w:p w14:paraId="6B1FE990" w14:textId="72142340" w:rsidR="00587C76" w:rsidRPr="00F73AC4" w:rsidRDefault="00F73AC4" w:rsidP="007B6871">
            <w:pPr>
              <w:pStyle w:val="DMETW1139BIPOrganicReconciliation"/>
              <w:rPr>
                <w:sz w:val="21"/>
                <w:szCs w:val="21"/>
              </w:rPr>
            </w:pPr>
            <w:r>
              <w:rPr>
                <w:sz w:val="21"/>
                <w:szCs w:val="21"/>
              </w:rPr>
              <w:t>Επίδραση περιοχής ενοποίησης</w:t>
            </w:r>
          </w:p>
        </w:tc>
        <w:tc>
          <w:tcPr>
            <w:tcW w:w="1260" w:type="dxa"/>
            <w:tcBorders>
              <w:top w:val="nil"/>
              <w:left w:val="nil"/>
              <w:bottom w:val="nil"/>
              <w:right w:val="nil"/>
            </w:tcBorders>
            <w:tcMar>
              <w:top w:w="0" w:type="dxa"/>
              <w:left w:w="0" w:type="dxa"/>
              <w:bottom w:w="0" w:type="dxa"/>
              <w:right w:w="0" w:type="dxa"/>
            </w:tcMar>
            <w:vAlign w:val="bottom"/>
          </w:tcPr>
          <w:p w14:paraId="425038B1" w14:textId="2607DB8C" w:rsidR="00587C76" w:rsidRPr="008C61C4" w:rsidRDefault="00587C76" w:rsidP="007B6871">
            <w:pPr>
              <w:pStyle w:val="DMETW1139BIPOrganicReconciliation"/>
              <w:tabs>
                <w:tab w:val="decimal" w:pos="1452"/>
              </w:tabs>
              <w:rPr>
                <w:b/>
                <w:sz w:val="21"/>
                <w:szCs w:val="21"/>
                <w:lang w:val="en-GB"/>
              </w:rPr>
            </w:pPr>
            <w:r w:rsidRPr="008C61C4">
              <w:rPr>
                <w:b/>
                <w:sz w:val="21"/>
                <w:szCs w:val="21"/>
                <w:lang w:val="en-GB"/>
              </w:rPr>
              <w:t xml:space="preserve"> 95</w:t>
            </w:r>
            <w:r w:rsidR="005A53DC">
              <w:rPr>
                <w:b/>
                <w:sz w:val="21"/>
                <w:szCs w:val="21"/>
              </w:rPr>
              <w:t>,</w:t>
            </w:r>
            <w:r w:rsidRPr="008C61C4">
              <w:rPr>
                <w:b/>
                <w:sz w:val="21"/>
                <w:szCs w:val="21"/>
                <w:lang w:val="en-GB"/>
              </w:rPr>
              <w:t>3</w:t>
            </w:r>
          </w:p>
        </w:tc>
        <w:tc>
          <w:tcPr>
            <w:tcW w:w="1620" w:type="dxa"/>
            <w:tcBorders>
              <w:top w:val="nil"/>
              <w:left w:val="nil"/>
              <w:bottom w:val="nil"/>
              <w:right w:val="nil"/>
            </w:tcBorders>
            <w:tcMar>
              <w:top w:w="0" w:type="dxa"/>
              <w:left w:w="0" w:type="dxa"/>
              <w:bottom w:w="0" w:type="dxa"/>
              <w:right w:w="0" w:type="dxa"/>
            </w:tcMar>
            <w:vAlign w:val="bottom"/>
          </w:tcPr>
          <w:p w14:paraId="1A9BB00D" w14:textId="77777777" w:rsidR="00587C76" w:rsidRPr="008C61C4" w:rsidRDefault="00587C76" w:rsidP="005A53DC">
            <w:pPr>
              <w:pStyle w:val="DMETW1139BIPOrganicReconciliation"/>
              <w:tabs>
                <w:tab w:val="decimal" w:pos="1452"/>
              </w:tabs>
              <w:jc w:val="right"/>
              <w:rPr>
                <w:sz w:val="21"/>
                <w:szCs w:val="21"/>
                <w:lang w:val="en-GB"/>
              </w:rPr>
            </w:pPr>
            <w:r w:rsidRPr="008C61C4">
              <w:rPr>
                <w:sz w:val="21"/>
                <w:szCs w:val="21"/>
                <w:lang w:val="en-GB"/>
              </w:rPr>
              <w:t>—</w:t>
            </w:r>
          </w:p>
        </w:tc>
        <w:tc>
          <w:tcPr>
            <w:tcW w:w="1800" w:type="dxa"/>
            <w:tcBorders>
              <w:top w:val="nil"/>
              <w:left w:val="nil"/>
              <w:bottom w:val="nil"/>
              <w:right w:val="nil"/>
            </w:tcBorders>
            <w:tcMar>
              <w:top w:w="0" w:type="dxa"/>
              <w:left w:w="0" w:type="dxa"/>
              <w:bottom w:w="0" w:type="dxa"/>
              <w:right w:w="0" w:type="dxa"/>
            </w:tcMar>
            <w:vAlign w:val="bottom"/>
          </w:tcPr>
          <w:p w14:paraId="61BD9CB7" w14:textId="77777777" w:rsidR="00587C76" w:rsidRPr="008C61C4" w:rsidRDefault="00587C76" w:rsidP="005A53DC">
            <w:pPr>
              <w:pStyle w:val="DMETW1139BIPOrganicReconciliation"/>
              <w:tabs>
                <w:tab w:val="decimal" w:pos="1482"/>
              </w:tabs>
              <w:jc w:val="right"/>
              <w:rPr>
                <w:sz w:val="21"/>
                <w:szCs w:val="21"/>
                <w:lang w:val="en-GB"/>
              </w:rPr>
            </w:pPr>
            <w:r w:rsidRPr="008C61C4">
              <w:rPr>
                <w:sz w:val="21"/>
                <w:szCs w:val="21"/>
                <w:lang w:val="en-GB"/>
              </w:rPr>
              <w:t>—</w:t>
            </w:r>
          </w:p>
        </w:tc>
        <w:tc>
          <w:tcPr>
            <w:tcW w:w="1533" w:type="dxa"/>
            <w:tcBorders>
              <w:top w:val="nil"/>
              <w:left w:val="nil"/>
              <w:bottom w:val="nil"/>
              <w:right w:val="nil"/>
            </w:tcBorders>
            <w:tcMar>
              <w:top w:w="0" w:type="dxa"/>
              <w:left w:w="0" w:type="dxa"/>
              <w:bottom w:w="0" w:type="dxa"/>
              <w:right w:w="0" w:type="dxa"/>
            </w:tcMar>
            <w:vAlign w:val="bottom"/>
          </w:tcPr>
          <w:p w14:paraId="423208F3" w14:textId="113C4387" w:rsidR="00587C76" w:rsidRPr="008C61C4" w:rsidRDefault="00587C76" w:rsidP="005A53DC">
            <w:pPr>
              <w:pStyle w:val="DMETW1139BIPOrganicReconciliation"/>
              <w:tabs>
                <w:tab w:val="decimal" w:pos="1482"/>
              </w:tabs>
              <w:jc w:val="right"/>
              <w:rPr>
                <w:sz w:val="21"/>
                <w:szCs w:val="21"/>
                <w:lang w:val="en-GB"/>
              </w:rPr>
            </w:pPr>
            <w:r w:rsidRPr="008C61C4">
              <w:rPr>
                <w:sz w:val="21"/>
                <w:szCs w:val="21"/>
                <w:lang w:val="en-GB"/>
              </w:rPr>
              <w:t xml:space="preserve"> 95</w:t>
            </w:r>
            <w:r w:rsidR="005A53DC">
              <w:rPr>
                <w:sz w:val="21"/>
                <w:szCs w:val="21"/>
              </w:rPr>
              <w:t>,</w:t>
            </w:r>
            <w:r w:rsidRPr="008C61C4">
              <w:rPr>
                <w:sz w:val="21"/>
                <w:szCs w:val="21"/>
                <w:lang w:val="en-GB"/>
              </w:rPr>
              <w:t>3</w:t>
            </w:r>
          </w:p>
        </w:tc>
      </w:tr>
      <w:tr w:rsidR="00587C76" w:rsidRPr="008C61C4" w14:paraId="094E5AEA" w14:textId="77777777" w:rsidTr="00F73AC4">
        <w:trPr>
          <w:trHeight w:val="20"/>
        </w:trPr>
        <w:tc>
          <w:tcPr>
            <w:tcW w:w="3598" w:type="dxa"/>
            <w:tcBorders>
              <w:top w:val="nil"/>
              <w:left w:val="nil"/>
              <w:bottom w:val="nil"/>
              <w:right w:val="nil"/>
            </w:tcBorders>
            <w:tcMar>
              <w:top w:w="0" w:type="dxa"/>
              <w:left w:w="60" w:type="dxa"/>
              <w:bottom w:w="0" w:type="dxa"/>
              <w:right w:w="60" w:type="dxa"/>
            </w:tcMar>
            <w:vAlign w:val="bottom"/>
          </w:tcPr>
          <w:p w14:paraId="2B31443D" w14:textId="2C0F9A48" w:rsidR="00587C76" w:rsidRPr="008C61C4" w:rsidRDefault="00F73AC4" w:rsidP="007B6871">
            <w:pPr>
              <w:pStyle w:val="DMETW1139BIPOrganicReconciliation"/>
              <w:rPr>
                <w:sz w:val="21"/>
                <w:szCs w:val="21"/>
                <w:lang w:val="en-GB"/>
              </w:rPr>
            </w:pPr>
            <w:r>
              <w:rPr>
                <w:sz w:val="21"/>
                <w:szCs w:val="21"/>
              </w:rPr>
              <w:t>Οργανική μεταβολή</w:t>
            </w:r>
            <w:r w:rsidR="00587C76" w:rsidRPr="008C61C4">
              <w:rPr>
                <w:sz w:val="21"/>
                <w:szCs w:val="21"/>
                <w:lang w:val="en-GB"/>
              </w:rPr>
              <w:t xml:space="preserve"> </w:t>
            </w:r>
          </w:p>
        </w:tc>
        <w:tc>
          <w:tcPr>
            <w:tcW w:w="1260" w:type="dxa"/>
            <w:tcBorders>
              <w:top w:val="nil"/>
              <w:left w:val="nil"/>
              <w:bottom w:val="nil"/>
              <w:right w:val="nil"/>
            </w:tcBorders>
            <w:tcMar>
              <w:top w:w="0" w:type="dxa"/>
              <w:left w:w="0" w:type="dxa"/>
              <w:bottom w:w="0" w:type="dxa"/>
              <w:right w:w="0" w:type="dxa"/>
            </w:tcMar>
            <w:vAlign w:val="bottom"/>
          </w:tcPr>
          <w:p w14:paraId="1C13A471" w14:textId="07C3F2B9" w:rsidR="00587C76" w:rsidRPr="008C61C4" w:rsidRDefault="00587C76" w:rsidP="007B6871">
            <w:pPr>
              <w:pStyle w:val="DMETW1139BIPOrganicReconciliation"/>
              <w:tabs>
                <w:tab w:val="decimal" w:pos="1452"/>
              </w:tabs>
              <w:rPr>
                <w:b/>
                <w:sz w:val="21"/>
                <w:szCs w:val="21"/>
                <w:lang w:val="en-GB"/>
              </w:rPr>
            </w:pPr>
            <w:r w:rsidRPr="008C61C4">
              <w:rPr>
                <w:b/>
                <w:sz w:val="21"/>
                <w:szCs w:val="21"/>
                <w:lang w:val="en-GB"/>
              </w:rPr>
              <w:t xml:space="preserve"> 326</w:t>
            </w:r>
            <w:r w:rsidR="005A53DC">
              <w:rPr>
                <w:b/>
                <w:sz w:val="21"/>
                <w:szCs w:val="21"/>
              </w:rPr>
              <w:t>,</w:t>
            </w:r>
            <w:r w:rsidRPr="008C61C4">
              <w:rPr>
                <w:b/>
                <w:sz w:val="21"/>
                <w:szCs w:val="21"/>
                <w:lang w:val="en-GB"/>
              </w:rPr>
              <w:t>2</w:t>
            </w:r>
          </w:p>
        </w:tc>
        <w:tc>
          <w:tcPr>
            <w:tcW w:w="1620" w:type="dxa"/>
            <w:tcBorders>
              <w:top w:val="nil"/>
              <w:left w:val="nil"/>
              <w:bottom w:val="nil"/>
              <w:right w:val="nil"/>
            </w:tcBorders>
            <w:tcMar>
              <w:top w:w="0" w:type="dxa"/>
              <w:left w:w="0" w:type="dxa"/>
              <w:bottom w:w="0" w:type="dxa"/>
              <w:right w:w="0" w:type="dxa"/>
            </w:tcMar>
            <w:vAlign w:val="bottom"/>
          </w:tcPr>
          <w:p w14:paraId="38983315" w14:textId="122E0841" w:rsidR="00587C76" w:rsidRPr="008C61C4" w:rsidRDefault="00587C76" w:rsidP="005A53DC">
            <w:pPr>
              <w:pStyle w:val="DMETW1139BIPOrganicReconciliation"/>
              <w:tabs>
                <w:tab w:val="decimal" w:pos="1452"/>
              </w:tabs>
              <w:jc w:val="right"/>
              <w:rPr>
                <w:sz w:val="21"/>
                <w:szCs w:val="21"/>
                <w:lang w:val="en-GB"/>
              </w:rPr>
            </w:pPr>
            <w:r w:rsidRPr="008C61C4">
              <w:rPr>
                <w:sz w:val="21"/>
                <w:szCs w:val="21"/>
                <w:lang w:val="en-GB"/>
              </w:rPr>
              <w:t xml:space="preserve"> 88</w:t>
            </w:r>
            <w:r w:rsidR="005A53DC">
              <w:rPr>
                <w:sz w:val="21"/>
                <w:szCs w:val="21"/>
              </w:rPr>
              <w:t>,</w:t>
            </w:r>
            <w:r w:rsidRPr="008C61C4">
              <w:rPr>
                <w:sz w:val="21"/>
                <w:szCs w:val="21"/>
                <w:lang w:val="en-GB"/>
              </w:rPr>
              <w:t>6</w:t>
            </w:r>
          </w:p>
        </w:tc>
        <w:tc>
          <w:tcPr>
            <w:tcW w:w="1800" w:type="dxa"/>
            <w:tcBorders>
              <w:top w:val="nil"/>
              <w:left w:val="nil"/>
              <w:bottom w:val="nil"/>
              <w:right w:val="nil"/>
            </w:tcBorders>
            <w:tcMar>
              <w:top w:w="0" w:type="dxa"/>
              <w:left w:w="0" w:type="dxa"/>
              <w:bottom w:w="0" w:type="dxa"/>
              <w:right w:w="0" w:type="dxa"/>
            </w:tcMar>
            <w:vAlign w:val="bottom"/>
          </w:tcPr>
          <w:p w14:paraId="41EC70AA" w14:textId="0B20A4CF" w:rsidR="00587C76" w:rsidRPr="008C61C4" w:rsidRDefault="00587C76" w:rsidP="005A53DC">
            <w:pPr>
              <w:pStyle w:val="DMETW1139BIPOrganicReconciliation"/>
              <w:tabs>
                <w:tab w:val="decimal" w:pos="1482"/>
              </w:tabs>
              <w:jc w:val="right"/>
              <w:rPr>
                <w:sz w:val="21"/>
                <w:szCs w:val="21"/>
                <w:lang w:val="en-GB"/>
              </w:rPr>
            </w:pPr>
            <w:r w:rsidRPr="008C61C4">
              <w:rPr>
                <w:sz w:val="21"/>
                <w:szCs w:val="21"/>
                <w:lang w:val="en-GB"/>
              </w:rPr>
              <w:t xml:space="preserve"> 95</w:t>
            </w:r>
            <w:r w:rsidR="005A53DC">
              <w:rPr>
                <w:sz w:val="21"/>
                <w:szCs w:val="21"/>
              </w:rPr>
              <w:t>,</w:t>
            </w:r>
            <w:r w:rsidRPr="008C61C4">
              <w:rPr>
                <w:sz w:val="21"/>
                <w:szCs w:val="21"/>
                <w:lang w:val="en-GB"/>
              </w:rPr>
              <w:t>6</w:t>
            </w:r>
          </w:p>
        </w:tc>
        <w:tc>
          <w:tcPr>
            <w:tcW w:w="1533" w:type="dxa"/>
            <w:tcBorders>
              <w:top w:val="nil"/>
              <w:left w:val="nil"/>
              <w:bottom w:val="nil"/>
              <w:right w:val="nil"/>
            </w:tcBorders>
            <w:tcMar>
              <w:top w:w="0" w:type="dxa"/>
              <w:left w:w="0" w:type="dxa"/>
              <w:bottom w:w="0" w:type="dxa"/>
              <w:right w:w="0" w:type="dxa"/>
            </w:tcMar>
            <w:vAlign w:val="bottom"/>
          </w:tcPr>
          <w:p w14:paraId="26AB00E7" w14:textId="0B89030D" w:rsidR="00587C76" w:rsidRPr="008C61C4" w:rsidRDefault="00587C76" w:rsidP="005A53DC">
            <w:pPr>
              <w:pStyle w:val="DMETW1139BIPOrganicReconciliation"/>
              <w:tabs>
                <w:tab w:val="decimal" w:pos="1482"/>
              </w:tabs>
              <w:jc w:val="right"/>
              <w:rPr>
                <w:sz w:val="21"/>
                <w:szCs w:val="21"/>
                <w:lang w:val="en-GB"/>
              </w:rPr>
            </w:pPr>
            <w:r w:rsidRPr="008C61C4">
              <w:rPr>
                <w:sz w:val="21"/>
                <w:szCs w:val="21"/>
                <w:lang w:val="en-GB"/>
              </w:rPr>
              <w:t xml:space="preserve"> 142</w:t>
            </w:r>
            <w:r w:rsidR="005A53DC">
              <w:rPr>
                <w:sz w:val="21"/>
                <w:szCs w:val="21"/>
              </w:rPr>
              <w:t>,</w:t>
            </w:r>
            <w:r w:rsidRPr="008C61C4">
              <w:rPr>
                <w:sz w:val="21"/>
                <w:szCs w:val="21"/>
                <w:lang w:val="en-GB"/>
              </w:rPr>
              <w:t>0</w:t>
            </w:r>
          </w:p>
        </w:tc>
      </w:tr>
      <w:tr w:rsidR="00587C76" w:rsidRPr="008C61C4" w14:paraId="0B5F5EBA" w14:textId="77777777" w:rsidTr="00F73AC4">
        <w:trPr>
          <w:trHeight w:val="20"/>
        </w:trPr>
        <w:tc>
          <w:tcPr>
            <w:tcW w:w="3598" w:type="dxa"/>
            <w:tcBorders>
              <w:top w:val="nil"/>
              <w:left w:val="nil"/>
              <w:bottom w:val="nil"/>
              <w:right w:val="nil"/>
            </w:tcBorders>
            <w:tcMar>
              <w:top w:w="0" w:type="dxa"/>
              <w:left w:w="60" w:type="dxa"/>
              <w:bottom w:w="0" w:type="dxa"/>
              <w:right w:w="60" w:type="dxa"/>
            </w:tcMar>
            <w:vAlign w:val="bottom"/>
          </w:tcPr>
          <w:p w14:paraId="1E0270F1" w14:textId="09C266D5" w:rsidR="00587C76" w:rsidRPr="00F73AC4" w:rsidRDefault="00587C76" w:rsidP="007B6871">
            <w:pPr>
              <w:pStyle w:val="DMETW1139BIPOrganicReconciliation"/>
              <w:rPr>
                <w:b/>
                <w:sz w:val="21"/>
                <w:szCs w:val="21"/>
              </w:rPr>
            </w:pPr>
            <w:r w:rsidRPr="008C61C4">
              <w:rPr>
                <w:b/>
                <w:sz w:val="21"/>
                <w:szCs w:val="21"/>
                <w:lang w:val="en-GB"/>
              </w:rPr>
              <w:t xml:space="preserve">2022 </w:t>
            </w:r>
            <w:r w:rsidR="00F73AC4">
              <w:rPr>
                <w:b/>
                <w:sz w:val="21"/>
                <w:szCs w:val="21"/>
              </w:rPr>
              <w:t>δημοσιευμένα</w:t>
            </w:r>
            <w:r w:rsidR="004D75B0">
              <w:rPr>
                <w:b/>
                <w:sz w:val="21"/>
                <w:szCs w:val="21"/>
              </w:rPr>
              <w:t xml:space="preserve"> μεγέθη</w:t>
            </w:r>
          </w:p>
        </w:tc>
        <w:tc>
          <w:tcPr>
            <w:tcW w:w="1260" w:type="dxa"/>
            <w:tcBorders>
              <w:top w:val="single" w:sz="4" w:space="0" w:color="000000"/>
              <w:left w:val="nil"/>
              <w:bottom w:val="single" w:sz="4" w:space="0" w:color="000000"/>
              <w:right w:val="nil"/>
            </w:tcBorders>
            <w:tcMar>
              <w:top w:w="0" w:type="dxa"/>
              <w:left w:w="0" w:type="dxa"/>
              <w:bottom w:w="0" w:type="dxa"/>
              <w:right w:w="0" w:type="dxa"/>
            </w:tcMar>
            <w:vAlign w:val="bottom"/>
          </w:tcPr>
          <w:p w14:paraId="5EB38E4A" w14:textId="61254760" w:rsidR="00587C76" w:rsidRPr="008C61C4" w:rsidRDefault="00587C76" w:rsidP="007B6871">
            <w:pPr>
              <w:pStyle w:val="DMETW1139BIPOrganicReconciliation"/>
              <w:tabs>
                <w:tab w:val="decimal" w:pos="1452"/>
              </w:tabs>
              <w:rPr>
                <w:b/>
                <w:sz w:val="21"/>
                <w:szCs w:val="21"/>
                <w:lang w:val="en-GB"/>
              </w:rPr>
            </w:pPr>
            <w:r w:rsidRPr="008C61C4">
              <w:rPr>
                <w:b/>
                <w:sz w:val="21"/>
                <w:szCs w:val="21"/>
                <w:lang w:val="en-GB"/>
              </w:rPr>
              <w:t xml:space="preserve"> 1</w:t>
            </w:r>
            <w:r w:rsidR="005A53DC">
              <w:rPr>
                <w:b/>
                <w:sz w:val="21"/>
                <w:szCs w:val="21"/>
              </w:rPr>
              <w:t>.</w:t>
            </w:r>
            <w:r w:rsidRPr="008C61C4">
              <w:rPr>
                <w:b/>
                <w:sz w:val="21"/>
                <w:szCs w:val="21"/>
                <w:lang w:val="en-GB"/>
              </w:rPr>
              <w:t>770</w:t>
            </w:r>
            <w:r w:rsidR="005A53DC">
              <w:rPr>
                <w:b/>
                <w:sz w:val="21"/>
                <w:szCs w:val="21"/>
              </w:rPr>
              <w:t>,</w:t>
            </w:r>
            <w:r w:rsidRPr="008C61C4">
              <w:rPr>
                <w:b/>
                <w:sz w:val="21"/>
                <w:szCs w:val="21"/>
                <w:lang w:val="en-GB"/>
              </w:rPr>
              <w:t>7</w:t>
            </w:r>
          </w:p>
        </w:tc>
        <w:tc>
          <w:tcPr>
            <w:tcW w:w="1620" w:type="dxa"/>
            <w:tcBorders>
              <w:top w:val="single" w:sz="4" w:space="0" w:color="000000"/>
              <w:left w:val="nil"/>
              <w:bottom w:val="single" w:sz="4" w:space="0" w:color="000000"/>
              <w:right w:val="nil"/>
            </w:tcBorders>
            <w:tcMar>
              <w:top w:w="0" w:type="dxa"/>
              <w:left w:w="0" w:type="dxa"/>
              <w:bottom w:w="0" w:type="dxa"/>
              <w:right w:w="0" w:type="dxa"/>
            </w:tcMar>
            <w:vAlign w:val="bottom"/>
          </w:tcPr>
          <w:p w14:paraId="29668453" w14:textId="6A800A5E" w:rsidR="00587C76" w:rsidRPr="008C61C4" w:rsidRDefault="00587C76" w:rsidP="005A53DC">
            <w:pPr>
              <w:pStyle w:val="DMETW1139BIPOrganicReconciliation"/>
              <w:tabs>
                <w:tab w:val="decimal" w:pos="1452"/>
              </w:tabs>
              <w:jc w:val="right"/>
              <w:rPr>
                <w:b/>
                <w:sz w:val="21"/>
                <w:szCs w:val="21"/>
                <w:lang w:val="en-GB"/>
              </w:rPr>
            </w:pPr>
            <w:r w:rsidRPr="008C61C4">
              <w:rPr>
                <w:b/>
                <w:sz w:val="21"/>
                <w:szCs w:val="21"/>
                <w:lang w:val="en-GB"/>
              </w:rPr>
              <w:t xml:space="preserve"> 575</w:t>
            </w:r>
            <w:r w:rsidR="005A53DC">
              <w:rPr>
                <w:b/>
                <w:sz w:val="21"/>
                <w:szCs w:val="21"/>
              </w:rPr>
              <w:t>,</w:t>
            </w:r>
            <w:r w:rsidRPr="008C61C4">
              <w:rPr>
                <w:b/>
                <w:sz w:val="21"/>
                <w:szCs w:val="21"/>
                <w:lang w:val="en-GB"/>
              </w:rPr>
              <w:t>1</w:t>
            </w:r>
          </w:p>
        </w:tc>
        <w:tc>
          <w:tcPr>
            <w:tcW w:w="1800" w:type="dxa"/>
            <w:tcBorders>
              <w:top w:val="single" w:sz="4" w:space="0" w:color="000000"/>
              <w:left w:val="nil"/>
              <w:bottom w:val="single" w:sz="4" w:space="0" w:color="000000"/>
              <w:right w:val="nil"/>
            </w:tcBorders>
            <w:tcMar>
              <w:top w:w="0" w:type="dxa"/>
              <w:left w:w="0" w:type="dxa"/>
              <w:bottom w:w="0" w:type="dxa"/>
              <w:right w:w="0" w:type="dxa"/>
            </w:tcMar>
            <w:vAlign w:val="bottom"/>
          </w:tcPr>
          <w:p w14:paraId="5CEF3D04" w14:textId="2B7D1E75" w:rsidR="00587C76" w:rsidRPr="008C61C4" w:rsidRDefault="00587C76" w:rsidP="005A53DC">
            <w:pPr>
              <w:pStyle w:val="DMETW1139BIPOrganicReconciliation"/>
              <w:tabs>
                <w:tab w:val="decimal" w:pos="1482"/>
              </w:tabs>
              <w:jc w:val="right"/>
              <w:rPr>
                <w:b/>
                <w:sz w:val="21"/>
                <w:szCs w:val="21"/>
                <w:lang w:val="en-GB"/>
              </w:rPr>
            </w:pPr>
            <w:r w:rsidRPr="008C61C4">
              <w:rPr>
                <w:b/>
                <w:sz w:val="21"/>
                <w:szCs w:val="21"/>
                <w:lang w:val="en-GB"/>
              </w:rPr>
              <w:t xml:space="preserve"> 331</w:t>
            </w:r>
            <w:r w:rsidR="005A53DC">
              <w:rPr>
                <w:b/>
                <w:sz w:val="21"/>
                <w:szCs w:val="21"/>
              </w:rPr>
              <w:t>,</w:t>
            </w:r>
            <w:r w:rsidRPr="008C61C4">
              <w:rPr>
                <w:b/>
                <w:sz w:val="21"/>
                <w:szCs w:val="21"/>
                <w:lang w:val="en-GB"/>
              </w:rPr>
              <w:t>9</w:t>
            </w:r>
          </w:p>
        </w:tc>
        <w:tc>
          <w:tcPr>
            <w:tcW w:w="1533" w:type="dxa"/>
            <w:tcBorders>
              <w:top w:val="single" w:sz="4" w:space="0" w:color="000000"/>
              <w:left w:val="nil"/>
              <w:bottom w:val="single" w:sz="4" w:space="0" w:color="000000"/>
              <w:right w:val="nil"/>
            </w:tcBorders>
            <w:tcMar>
              <w:top w:w="0" w:type="dxa"/>
              <w:left w:w="0" w:type="dxa"/>
              <w:bottom w:w="0" w:type="dxa"/>
              <w:right w:w="0" w:type="dxa"/>
            </w:tcMar>
            <w:vAlign w:val="bottom"/>
          </w:tcPr>
          <w:p w14:paraId="6104ACA0" w14:textId="1B33523A" w:rsidR="00587C76" w:rsidRPr="008C61C4" w:rsidRDefault="00587C76" w:rsidP="005A53DC">
            <w:pPr>
              <w:pStyle w:val="DMETW1139BIPOrganicReconciliation"/>
              <w:tabs>
                <w:tab w:val="decimal" w:pos="1482"/>
              </w:tabs>
              <w:jc w:val="right"/>
              <w:rPr>
                <w:b/>
                <w:sz w:val="21"/>
                <w:szCs w:val="21"/>
                <w:lang w:val="en-GB"/>
              </w:rPr>
            </w:pPr>
            <w:r w:rsidRPr="008C61C4">
              <w:rPr>
                <w:b/>
                <w:sz w:val="21"/>
                <w:szCs w:val="21"/>
                <w:lang w:val="en-GB"/>
              </w:rPr>
              <w:t xml:space="preserve"> 863</w:t>
            </w:r>
            <w:r w:rsidR="005A53DC">
              <w:rPr>
                <w:b/>
                <w:sz w:val="21"/>
                <w:szCs w:val="21"/>
              </w:rPr>
              <w:t>,</w:t>
            </w:r>
            <w:r w:rsidRPr="008C61C4">
              <w:rPr>
                <w:b/>
                <w:sz w:val="21"/>
                <w:szCs w:val="21"/>
                <w:lang w:val="en-GB"/>
              </w:rPr>
              <w:t>7</w:t>
            </w:r>
          </w:p>
        </w:tc>
      </w:tr>
      <w:tr w:rsidR="00587C76" w:rsidRPr="008C61C4" w14:paraId="3DABCFB0" w14:textId="77777777" w:rsidTr="00F73AC4">
        <w:trPr>
          <w:trHeight w:hRule="exact" w:val="144"/>
        </w:trPr>
        <w:tc>
          <w:tcPr>
            <w:tcW w:w="3598" w:type="dxa"/>
            <w:tcBorders>
              <w:top w:val="nil"/>
              <w:left w:val="nil"/>
              <w:bottom w:val="nil"/>
              <w:right w:val="nil"/>
            </w:tcBorders>
            <w:tcMar>
              <w:top w:w="0" w:type="dxa"/>
              <w:left w:w="60" w:type="dxa"/>
              <w:bottom w:w="0" w:type="dxa"/>
              <w:right w:w="60" w:type="dxa"/>
            </w:tcMar>
            <w:vAlign w:val="bottom"/>
          </w:tcPr>
          <w:p w14:paraId="64C1CEEC" w14:textId="77777777" w:rsidR="00587C76" w:rsidRPr="008C61C4" w:rsidRDefault="00587C76" w:rsidP="007B6871">
            <w:pPr>
              <w:pStyle w:val="DMETW1139BIPOrganicReconciliation"/>
              <w:rPr>
                <w:sz w:val="21"/>
                <w:szCs w:val="21"/>
                <w:lang w:val="en-GB"/>
              </w:rPr>
            </w:pPr>
          </w:p>
        </w:tc>
        <w:tc>
          <w:tcPr>
            <w:tcW w:w="1260" w:type="dxa"/>
            <w:tcBorders>
              <w:top w:val="nil"/>
              <w:left w:val="nil"/>
              <w:bottom w:val="nil"/>
              <w:right w:val="nil"/>
            </w:tcBorders>
            <w:tcMar>
              <w:top w:w="0" w:type="dxa"/>
              <w:left w:w="60" w:type="dxa"/>
              <w:bottom w:w="0" w:type="dxa"/>
              <w:right w:w="60" w:type="dxa"/>
            </w:tcMar>
            <w:vAlign w:val="bottom"/>
          </w:tcPr>
          <w:p w14:paraId="7A2C2D44" w14:textId="77777777" w:rsidR="00587C76" w:rsidRPr="008C61C4" w:rsidRDefault="00587C76" w:rsidP="007B6871">
            <w:pPr>
              <w:pStyle w:val="DMETW1139BIPOrganicReconciliation"/>
              <w:jc w:val="right"/>
              <w:rPr>
                <w:b/>
                <w:sz w:val="21"/>
                <w:szCs w:val="21"/>
                <w:lang w:val="en-GB"/>
              </w:rPr>
            </w:pPr>
          </w:p>
        </w:tc>
        <w:tc>
          <w:tcPr>
            <w:tcW w:w="1620" w:type="dxa"/>
            <w:tcBorders>
              <w:top w:val="nil"/>
              <w:left w:val="nil"/>
              <w:bottom w:val="nil"/>
              <w:right w:val="nil"/>
            </w:tcBorders>
            <w:tcMar>
              <w:top w:w="0" w:type="dxa"/>
              <w:left w:w="60" w:type="dxa"/>
              <w:bottom w:w="0" w:type="dxa"/>
              <w:right w:w="60" w:type="dxa"/>
            </w:tcMar>
            <w:vAlign w:val="bottom"/>
          </w:tcPr>
          <w:p w14:paraId="0BD17B5F" w14:textId="77777777" w:rsidR="00587C76" w:rsidRPr="008C61C4" w:rsidRDefault="00587C76" w:rsidP="005A53DC">
            <w:pPr>
              <w:pStyle w:val="DMETW1139BIPOrganicReconciliation"/>
              <w:jc w:val="right"/>
              <w:rPr>
                <w:sz w:val="21"/>
                <w:szCs w:val="21"/>
                <w:lang w:val="en-GB"/>
              </w:rPr>
            </w:pPr>
          </w:p>
        </w:tc>
        <w:tc>
          <w:tcPr>
            <w:tcW w:w="1800" w:type="dxa"/>
            <w:tcBorders>
              <w:top w:val="nil"/>
              <w:left w:val="nil"/>
              <w:bottom w:val="nil"/>
              <w:right w:val="nil"/>
            </w:tcBorders>
            <w:tcMar>
              <w:top w:w="0" w:type="dxa"/>
              <w:left w:w="60" w:type="dxa"/>
              <w:bottom w:w="0" w:type="dxa"/>
              <w:right w:w="60" w:type="dxa"/>
            </w:tcMar>
            <w:vAlign w:val="bottom"/>
          </w:tcPr>
          <w:p w14:paraId="7E76B41D" w14:textId="77777777" w:rsidR="00587C76" w:rsidRPr="008C61C4" w:rsidRDefault="00587C76" w:rsidP="005A53DC">
            <w:pPr>
              <w:pStyle w:val="DMETW1139BIPOrganicReconciliation"/>
              <w:jc w:val="right"/>
              <w:rPr>
                <w:sz w:val="21"/>
                <w:szCs w:val="21"/>
                <w:lang w:val="en-GB"/>
              </w:rPr>
            </w:pPr>
          </w:p>
        </w:tc>
        <w:tc>
          <w:tcPr>
            <w:tcW w:w="1533" w:type="dxa"/>
            <w:tcBorders>
              <w:top w:val="nil"/>
              <w:left w:val="nil"/>
              <w:bottom w:val="nil"/>
              <w:right w:val="nil"/>
            </w:tcBorders>
            <w:tcMar>
              <w:top w:w="0" w:type="dxa"/>
              <w:left w:w="60" w:type="dxa"/>
              <w:bottom w:w="0" w:type="dxa"/>
              <w:right w:w="60" w:type="dxa"/>
            </w:tcMar>
            <w:vAlign w:val="bottom"/>
          </w:tcPr>
          <w:p w14:paraId="2AE8BD1D" w14:textId="77777777" w:rsidR="00587C76" w:rsidRPr="008C61C4" w:rsidRDefault="00587C76" w:rsidP="005A53DC">
            <w:pPr>
              <w:pStyle w:val="DMETW1139BIPOrganicReconciliation"/>
              <w:jc w:val="right"/>
              <w:rPr>
                <w:sz w:val="21"/>
                <w:szCs w:val="21"/>
                <w:lang w:val="en-GB"/>
              </w:rPr>
            </w:pPr>
          </w:p>
        </w:tc>
      </w:tr>
      <w:tr w:rsidR="00587C76" w:rsidRPr="008C61C4" w14:paraId="78CBC2D9" w14:textId="77777777" w:rsidTr="00F73AC4">
        <w:trPr>
          <w:trHeight w:val="20"/>
        </w:trPr>
        <w:tc>
          <w:tcPr>
            <w:tcW w:w="3598" w:type="dxa"/>
            <w:tcBorders>
              <w:top w:val="nil"/>
              <w:left w:val="nil"/>
              <w:bottom w:val="nil"/>
              <w:right w:val="nil"/>
            </w:tcBorders>
            <w:tcMar>
              <w:top w:w="0" w:type="dxa"/>
              <w:left w:w="60" w:type="dxa"/>
              <w:bottom w:w="0" w:type="dxa"/>
              <w:right w:w="60" w:type="dxa"/>
            </w:tcMar>
            <w:vAlign w:val="bottom"/>
          </w:tcPr>
          <w:p w14:paraId="034B57BA" w14:textId="51D4AC76" w:rsidR="00587C76" w:rsidRPr="008C61C4" w:rsidRDefault="00F73AC4" w:rsidP="007B6871">
            <w:pPr>
              <w:pStyle w:val="DMETW1139BIPOrganicReconciliation"/>
              <w:rPr>
                <w:b/>
                <w:sz w:val="21"/>
                <w:szCs w:val="21"/>
                <w:lang w:val="en-GB"/>
              </w:rPr>
            </w:pPr>
            <w:r>
              <w:rPr>
                <w:b/>
                <w:sz w:val="21"/>
                <w:szCs w:val="21"/>
              </w:rPr>
              <w:t>Οργανική αύξηση</w:t>
            </w:r>
            <w:r w:rsidR="00587C76" w:rsidRPr="008C61C4">
              <w:rPr>
                <w:b/>
                <w:sz w:val="21"/>
                <w:szCs w:val="21"/>
                <w:lang w:val="en-GB"/>
              </w:rPr>
              <w:t xml:space="preserve"> (%)</w:t>
            </w:r>
          </w:p>
        </w:tc>
        <w:tc>
          <w:tcPr>
            <w:tcW w:w="1260" w:type="dxa"/>
            <w:tcBorders>
              <w:top w:val="single" w:sz="4" w:space="0" w:color="000000"/>
              <w:left w:val="nil"/>
              <w:bottom w:val="single" w:sz="4" w:space="0" w:color="000000"/>
              <w:right w:val="nil"/>
            </w:tcBorders>
            <w:tcMar>
              <w:top w:w="0" w:type="dxa"/>
              <w:left w:w="60" w:type="dxa"/>
              <w:bottom w:w="0" w:type="dxa"/>
              <w:right w:w="60" w:type="dxa"/>
            </w:tcMar>
            <w:vAlign w:val="bottom"/>
          </w:tcPr>
          <w:p w14:paraId="7C71244D" w14:textId="451D5836" w:rsidR="00587C76" w:rsidRPr="008C61C4" w:rsidRDefault="00587C76" w:rsidP="007B6871">
            <w:pPr>
              <w:pStyle w:val="DMETW1139BIPOrganicReconciliation"/>
              <w:jc w:val="right"/>
              <w:rPr>
                <w:b/>
                <w:sz w:val="21"/>
                <w:szCs w:val="21"/>
                <w:lang w:val="en-GB"/>
              </w:rPr>
            </w:pPr>
            <w:r w:rsidRPr="008C61C4">
              <w:rPr>
                <w:b/>
                <w:sz w:val="21"/>
                <w:szCs w:val="21"/>
                <w:lang w:val="en-GB"/>
              </w:rPr>
              <w:t>24</w:t>
            </w:r>
            <w:r w:rsidR="005A53DC">
              <w:rPr>
                <w:b/>
                <w:sz w:val="21"/>
                <w:szCs w:val="21"/>
              </w:rPr>
              <w:t>,</w:t>
            </w:r>
            <w:r w:rsidRPr="008C61C4">
              <w:rPr>
                <w:b/>
                <w:sz w:val="21"/>
                <w:szCs w:val="21"/>
                <w:lang w:val="en-GB"/>
              </w:rPr>
              <w:t>2%</w:t>
            </w:r>
          </w:p>
        </w:tc>
        <w:tc>
          <w:tcPr>
            <w:tcW w:w="1620" w:type="dxa"/>
            <w:tcBorders>
              <w:top w:val="single" w:sz="4" w:space="0" w:color="000000"/>
              <w:left w:val="nil"/>
              <w:bottom w:val="single" w:sz="4" w:space="0" w:color="000000"/>
              <w:right w:val="nil"/>
            </w:tcBorders>
            <w:tcMar>
              <w:top w:w="0" w:type="dxa"/>
              <w:left w:w="60" w:type="dxa"/>
              <w:bottom w:w="0" w:type="dxa"/>
              <w:right w:w="60" w:type="dxa"/>
            </w:tcMar>
            <w:vAlign w:val="bottom"/>
          </w:tcPr>
          <w:p w14:paraId="1B8AA4D9" w14:textId="2309449C" w:rsidR="00587C76" w:rsidRPr="008C61C4" w:rsidRDefault="00587C76" w:rsidP="005A53DC">
            <w:pPr>
              <w:pStyle w:val="DMETW1139BIPOrganicReconciliation"/>
              <w:jc w:val="right"/>
              <w:rPr>
                <w:b/>
                <w:bCs/>
                <w:sz w:val="21"/>
                <w:szCs w:val="21"/>
                <w:lang w:val="en-GB"/>
              </w:rPr>
            </w:pPr>
            <w:r w:rsidRPr="008C61C4">
              <w:rPr>
                <w:b/>
                <w:bCs/>
                <w:sz w:val="21"/>
                <w:szCs w:val="21"/>
                <w:lang w:val="en-GB"/>
              </w:rPr>
              <w:t>18</w:t>
            </w:r>
            <w:r w:rsidR="005A53DC">
              <w:rPr>
                <w:b/>
                <w:bCs/>
                <w:sz w:val="21"/>
                <w:szCs w:val="21"/>
              </w:rPr>
              <w:t>,</w:t>
            </w:r>
            <w:r w:rsidRPr="008C61C4">
              <w:rPr>
                <w:b/>
                <w:bCs/>
                <w:sz w:val="21"/>
                <w:szCs w:val="21"/>
                <w:lang w:val="en-GB"/>
              </w:rPr>
              <w:t>2%</w:t>
            </w:r>
          </w:p>
        </w:tc>
        <w:tc>
          <w:tcPr>
            <w:tcW w:w="1800" w:type="dxa"/>
            <w:tcBorders>
              <w:top w:val="single" w:sz="4" w:space="0" w:color="000000"/>
              <w:left w:val="nil"/>
              <w:bottom w:val="single" w:sz="4" w:space="0" w:color="000000"/>
              <w:right w:val="nil"/>
            </w:tcBorders>
            <w:tcMar>
              <w:top w:w="0" w:type="dxa"/>
              <w:left w:w="60" w:type="dxa"/>
              <w:bottom w:w="0" w:type="dxa"/>
              <w:right w:w="60" w:type="dxa"/>
            </w:tcMar>
            <w:vAlign w:val="bottom"/>
          </w:tcPr>
          <w:p w14:paraId="30E2E197" w14:textId="5C3ABED9" w:rsidR="00587C76" w:rsidRPr="008C61C4" w:rsidRDefault="00587C76" w:rsidP="005A53DC">
            <w:pPr>
              <w:pStyle w:val="DMETW1139BIPOrganicReconciliation"/>
              <w:jc w:val="right"/>
              <w:rPr>
                <w:b/>
                <w:bCs/>
                <w:sz w:val="21"/>
                <w:szCs w:val="21"/>
                <w:lang w:val="en-GB"/>
              </w:rPr>
            </w:pPr>
            <w:r w:rsidRPr="008C61C4">
              <w:rPr>
                <w:b/>
                <w:bCs/>
                <w:sz w:val="21"/>
                <w:szCs w:val="21"/>
                <w:lang w:val="en-GB"/>
              </w:rPr>
              <w:t>40</w:t>
            </w:r>
            <w:r w:rsidR="005A53DC">
              <w:rPr>
                <w:b/>
                <w:bCs/>
                <w:sz w:val="21"/>
                <w:szCs w:val="21"/>
              </w:rPr>
              <w:t>,</w:t>
            </w:r>
            <w:r w:rsidRPr="008C61C4">
              <w:rPr>
                <w:b/>
                <w:bCs/>
                <w:sz w:val="21"/>
                <w:szCs w:val="21"/>
                <w:lang w:val="en-GB"/>
              </w:rPr>
              <w:t>5%</w:t>
            </w:r>
          </w:p>
        </w:tc>
        <w:tc>
          <w:tcPr>
            <w:tcW w:w="1533" w:type="dxa"/>
            <w:tcBorders>
              <w:top w:val="single" w:sz="4" w:space="0" w:color="000000"/>
              <w:left w:val="nil"/>
              <w:bottom w:val="single" w:sz="4" w:space="0" w:color="000000"/>
              <w:right w:val="nil"/>
            </w:tcBorders>
            <w:tcMar>
              <w:top w:w="0" w:type="dxa"/>
              <w:left w:w="60" w:type="dxa"/>
              <w:bottom w:w="0" w:type="dxa"/>
              <w:right w:w="60" w:type="dxa"/>
            </w:tcMar>
            <w:vAlign w:val="bottom"/>
          </w:tcPr>
          <w:p w14:paraId="0AF51FA5" w14:textId="447BC3CE" w:rsidR="00587C76" w:rsidRPr="008C61C4" w:rsidRDefault="00587C76" w:rsidP="005A53DC">
            <w:pPr>
              <w:pStyle w:val="DMETW1139BIPOrganicReconciliation"/>
              <w:jc w:val="right"/>
              <w:rPr>
                <w:b/>
                <w:bCs/>
                <w:sz w:val="21"/>
                <w:szCs w:val="21"/>
                <w:lang w:val="en-GB"/>
              </w:rPr>
            </w:pPr>
            <w:r w:rsidRPr="008C61C4">
              <w:rPr>
                <w:b/>
                <w:bCs/>
                <w:sz w:val="21"/>
                <w:szCs w:val="21"/>
                <w:lang w:val="en-GB"/>
              </w:rPr>
              <w:t>22</w:t>
            </w:r>
            <w:r w:rsidR="005A53DC">
              <w:rPr>
                <w:b/>
                <w:bCs/>
                <w:sz w:val="21"/>
                <w:szCs w:val="21"/>
              </w:rPr>
              <w:t>,</w:t>
            </w:r>
            <w:r w:rsidRPr="008C61C4">
              <w:rPr>
                <w:b/>
                <w:bCs/>
                <w:sz w:val="21"/>
                <w:szCs w:val="21"/>
                <w:lang w:val="en-GB"/>
              </w:rPr>
              <w:t>7%</w:t>
            </w:r>
          </w:p>
        </w:tc>
      </w:tr>
      <w:tr w:rsidR="00587C76" w:rsidRPr="008C61C4" w14:paraId="2898B890" w14:textId="77777777" w:rsidTr="00F73AC4">
        <w:trPr>
          <w:trHeight w:val="149"/>
        </w:trPr>
        <w:tc>
          <w:tcPr>
            <w:tcW w:w="3598" w:type="dxa"/>
            <w:tcBorders>
              <w:top w:val="nil"/>
              <w:left w:val="nil"/>
              <w:bottom w:val="nil"/>
              <w:right w:val="nil"/>
            </w:tcBorders>
            <w:tcMar>
              <w:top w:w="0" w:type="dxa"/>
              <w:left w:w="60" w:type="dxa"/>
              <w:bottom w:w="0" w:type="dxa"/>
              <w:right w:w="60" w:type="dxa"/>
            </w:tcMar>
            <w:vAlign w:val="bottom"/>
          </w:tcPr>
          <w:p w14:paraId="3BFEEABB" w14:textId="77777777" w:rsidR="00587C76" w:rsidRPr="008C61C4" w:rsidRDefault="00587C76" w:rsidP="007B6871">
            <w:pPr>
              <w:pStyle w:val="DMETW1139BIPOrganicReconciliation"/>
              <w:rPr>
                <w:sz w:val="21"/>
                <w:szCs w:val="21"/>
                <w:lang w:val="en-GB"/>
              </w:rPr>
            </w:pPr>
          </w:p>
        </w:tc>
        <w:tc>
          <w:tcPr>
            <w:tcW w:w="1260" w:type="dxa"/>
            <w:tcBorders>
              <w:top w:val="nil"/>
              <w:left w:val="nil"/>
              <w:bottom w:val="nil"/>
              <w:right w:val="nil"/>
            </w:tcBorders>
            <w:tcMar>
              <w:top w:w="0" w:type="dxa"/>
              <w:left w:w="60" w:type="dxa"/>
              <w:bottom w:w="0" w:type="dxa"/>
              <w:right w:w="60" w:type="dxa"/>
            </w:tcMar>
            <w:vAlign w:val="bottom"/>
          </w:tcPr>
          <w:p w14:paraId="3D7FD0FD" w14:textId="77777777" w:rsidR="00587C76" w:rsidRPr="008C61C4" w:rsidRDefault="00587C76" w:rsidP="007B6871">
            <w:pPr>
              <w:pStyle w:val="DMETW1139BIPOrganicReconciliation"/>
              <w:rPr>
                <w:sz w:val="21"/>
                <w:szCs w:val="21"/>
                <w:lang w:val="en-GB"/>
              </w:rPr>
            </w:pPr>
          </w:p>
        </w:tc>
        <w:tc>
          <w:tcPr>
            <w:tcW w:w="1620" w:type="dxa"/>
            <w:tcBorders>
              <w:top w:val="nil"/>
              <w:left w:val="nil"/>
              <w:bottom w:val="nil"/>
              <w:right w:val="nil"/>
            </w:tcBorders>
            <w:tcMar>
              <w:top w:w="0" w:type="dxa"/>
              <w:left w:w="60" w:type="dxa"/>
              <w:bottom w:w="0" w:type="dxa"/>
              <w:right w:w="60" w:type="dxa"/>
            </w:tcMar>
            <w:vAlign w:val="bottom"/>
          </w:tcPr>
          <w:p w14:paraId="6B815791" w14:textId="77777777" w:rsidR="00587C76" w:rsidRPr="008C61C4" w:rsidRDefault="00587C76" w:rsidP="007B6871">
            <w:pPr>
              <w:pStyle w:val="DMETW1139BIPOrganicReconciliation"/>
              <w:rPr>
                <w:sz w:val="21"/>
                <w:szCs w:val="21"/>
                <w:lang w:val="en-GB"/>
              </w:rPr>
            </w:pPr>
          </w:p>
        </w:tc>
        <w:tc>
          <w:tcPr>
            <w:tcW w:w="1800" w:type="dxa"/>
            <w:tcBorders>
              <w:top w:val="nil"/>
              <w:left w:val="nil"/>
              <w:bottom w:val="nil"/>
              <w:right w:val="nil"/>
            </w:tcBorders>
            <w:tcMar>
              <w:top w:w="0" w:type="dxa"/>
              <w:left w:w="60" w:type="dxa"/>
              <w:bottom w:w="0" w:type="dxa"/>
              <w:right w:w="60" w:type="dxa"/>
            </w:tcMar>
            <w:vAlign w:val="bottom"/>
          </w:tcPr>
          <w:p w14:paraId="5C0957D3" w14:textId="77777777" w:rsidR="00587C76" w:rsidRPr="008C61C4" w:rsidRDefault="00587C76" w:rsidP="007B6871">
            <w:pPr>
              <w:pStyle w:val="DMETW1139BIPOrganicReconciliation"/>
              <w:rPr>
                <w:sz w:val="21"/>
                <w:szCs w:val="21"/>
                <w:lang w:val="en-GB"/>
              </w:rPr>
            </w:pPr>
          </w:p>
        </w:tc>
        <w:tc>
          <w:tcPr>
            <w:tcW w:w="1533" w:type="dxa"/>
            <w:tcBorders>
              <w:top w:val="nil"/>
              <w:left w:val="nil"/>
              <w:bottom w:val="nil"/>
              <w:right w:val="nil"/>
            </w:tcBorders>
            <w:tcMar>
              <w:top w:w="0" w:type="dxa"/>
              <w:left w:w="60" w:type="dxa"/>
              <w:bottom w:w="0" w:type="dxa"/>
              <w:right w:w="60" w:type="dxa"/>
            </w:tcMar>
            <w:vAlign w:val="bottom"/>
          </w:tcPr>
          <w:p w14:paraId="6D7B271F" w14:textId="77777777" w:rsidR="00587C76" w:rsidRPr="008C61C4" w:rsidRDefault="00587C76" w:rsidP="007B6871">
            <w:pPr>
              <w:pStyle w:val="DMETW1139BIPOrganicReconciliation"/>
              <w:rPr>
                <w:sz w:val="21"/>
                <w:szCs w:val="21"/>
                <w:lang w:val="en-GB"/>
              </w:rPr>
            </w:pPr>
          </w:p>
        </w:tc>
      </w:tr>
      <w:tr w:rsidR="00587C76" w:rsidRPr="008C61C4" w14:paraId="4E03553E" w14:textId="77777777" w:rsidTr="00F73AC4">
        <w:trPr>
          <w:trHeight w:val="20"/>
        </w:trPr>
        <w:tc>
          <w:tcPr>
            <w:tcW w:w="3598" w:type="dxa"/>
            <w:tcBorders>
              <w:top w:val="nil"/>
              <w:left w:val="nil"/>
              <w:bottom w:val="nil"/>
              <w:right w:val="nil"/>
            </w:tcBorders>
            <w:tcMar>
              <w:top w:w="0" w:type="dxa"/>
              <w:left w:w="60" w:type="dxa"/>
              <w:bottom w:w="0" w:type="dxa"/>
              <w:right w:w="60" w:type="dxa"/>
            </w:tcMar>
            <w:vAlign w:val="bottom"/>
          </w:tcPr>
          <w:p w14:paraId="05ED4029" w14:textId="77777777" w:rsidR="00587C76" w:rsidRPr="008C61C4" w:rsidRDefault="00587C76" w:rsidP="007B6871">
            <w:pPr>
              <w:pStyle w:val="DMETW1139BIPOrganicReconciliation"/>
              <w:rPr>
                <w:sz w:val="21"/>
                <w:szCs w:val="21"/>
                <w:lang w:val="en-GB"/>
              </w:rPr>
            </w:pPr>
          </w:p>
        </w:tc>
        <w:tc>
          <w:tcPr>
            <w:tcW w:w="6213" w:type="dxa"/>
            <w:gridSpan w:val="4"/>
            <w:tcBorders>
              <w:top w:val="single" w:sz="4" w:space="0" w:color="000000"/>
              <w:left w:val="nil"/>
              <w:bottom w:val="single" w:sz="4" w:space="0" w:color="000000"/>
              <w:right w:val="nil"/>
            </w:tcBorders>
            <w:shd w:val="solid" w:color="DADADA" w:fill="FFFFFF"/>
            <w:tcMar>
              <w:top w:w="0" w:type="dxa"/>
              <w:left w:w="60" w:type="dxa"/>
              <w:bottom w:w="0" w:type="dxa"/>
              <w:right w:w="60" w:type="dxa"/>
            </w:tcMar>
            <w:vAlign w:val="center"/>
          </w:tcPr>
          <w:p w14:paraId="79C3222F" w14:textId="1B1DA8B4" w:rsidR="00587C76" w:rsidRPr="008C61C4" w:rsidRDefault="007A7903" w:rsidP="007B6871">
            <w:pPr>
              <w:pStyle w:val="DMETW1139BIPOrganicReconciliation"/>
              <w:jc w:val="center"/>
              <w:rPr>
                <w:b/>
                <w:sz w:val="21"/>
                <w:szCs w:val="21"/>
                <w:lang w:val="en-GB"/>
              </w:rPr>
            </w:pPr>
            <w:r>
              <w:rPr>
                <w:b/>
                <w:sz w:val="21"/>
                <w:szCs w:val="21"/>
              </w:rPr>
              <w:t>Α’ τρίμηνο</w:t>
            </w:r>
            <w:r w:rsidRPr="008C61C4">
              <w:rPr>
                <w:b/>
                <w:sz w:val="21"/>
                <w:szCs w:val="21"/>
                <w:lang w:val="en-GB"/>
              </w:rPr>
              <w:t xml:space="preserve"> 2022</w:t>
            </w:r>
          </w:p>
        </w:tc>
      </w:tr>
      <w:tr w:rsidR="00F73AC4" w:rsidRPr="008C61C4" w14:paraId="2367FDC6" w14:textId="77777777" w:rsidTr="00F73AC4">
        <w:trPr>
          <w:trHeight w:val="20"/>
        </w:trPr>
        <w:tc>
          <w:tcPr>
            <w:tcW w:w="3598" w:type="dxa"/>
            <w:tcBorders>
              <w:top w:val="nil"/>
              <w:left w:val="nil"/>
              <w:bottom w:val="nil"/>
              <w:right w:val="nil"/>
            </w:tcBorders>
            <w:tcMar>
              <w:top w:w="0" w:type="dxa"/>
              <w:left w:w="60" w:type="dxa"/>
              <w:bottom w:w="0" w:type="dxa"/>
              <w:right w:w="60" w:type="dxa"/>
            </w:tcMar>
            <w:vAlign w:val="bottom"/>
          </w:tcPr>
          <w:p w14:paraId="70EA0236" w14:textId="4824082A" w:rsidR="00587C76" w:rsidRPr="00F73AC4" w:rsidRDefault="00F73AC4" w:rsidP="007B6871">
            <w:pPr>
              <w:pStyle w:val="DMETW1139BIPOrganicReconciliation"/>
              <w:rPr>
                <w:b/>
                <w:sz w:val="21"/>
                <w:szCs w:val="21"/>
              </w:rPr>
            </w:pPr>
            <w:r>
              <w:rPr>
                <w:b/>
                <w:sz w:val="21"/>
                <w:szCs w:val="21"/>
              </w:rPr>
              <w:t>Καθαρά έσοδα από πωλήσεις ανά κιβώτιο</w:t>
            </w:r>
            <w:r w:rsidR="00587C76" w:rsidRPr="00F73AC4">
              <w:rPr>
                <w:b/>
                <w:sz w:val="21"/>
                <w:szCs w:val="21"/>
              </w:rPr>
              <w:t xml:space="preserve"> (€)</w:t>
            </w:r>
            <w:r w:rsidR="00587C76" w:rsidRPr="00F73AC4">
              <w:rPr>
                <w:b/>
                <w:sz w:val="21"/>
                <w:szCs w:val="21"/>
                <w:vertAlign w:val="superscript"/>
              </w:rPr>
              <w:t>1</w:t>
            </w:r>
          </w:p>
        </w:tc>
        <w:tc>
          <w:tcPr>
            <w:tcW w:w="1260" w:type="dxa"/>
            <w:tcBorders>
              <w:top w:val="nil"/>
              <w:left w:val="nil"/>
              <w:bottom w:val="nil"/>
              <w:right w:val="nil"/>
            </w:tcBorders>
            <w:shd w:val="solid" w:color="D9D9D9" w:fill="FFFFFF"/>
            <w:tcMar>
              <w:top w:w="0" w:type="dxa"/>
              <w:left w:w="60" w:type="dxa"/>
              <w:bottom w:w="0" w:type="dxa"/>
              <w:right w:w="60" w:type="dxa"/>
            </w:tcMar>
            <w:vAlign w:val="center"/>
          </w:tcPr>
          <w:p w14:paraId="5C63D7E3" w14:textId="3E3FC151" w:rsidR="00587C76" w:rsidRPr="00F73AC4" w:rsidRDefault="00F73AC4" w:rsidP="007B6871">
            <w:pPr>
              <w:pStyle w:val="DMETW1139BIPOrganicReconciliation"/>
              <w:tabs>
                <w:tab w:val="decimal" w:pos="1329"/>
              </w:tabs>
              <w:jc w:val="right"/>
              <w:rPr>
                <w:b/>
                <w:sz w:val="21"/>
                <w:szCs w:val="21"/>
              </w:rPr>
            </w:pPr>
            <w:r>
              <w:rPr>
                <w:b/>
                <w:sz w:val="21"/>
                <w:szCs w:val="21"/>
              </w:rPr>
              <w:t>Όμιλος</w:t>
            </w:r>
          </w:p>
        </w:tc>
        <w:tc>
          <w:tcPr>
            <w:tcW w:w="1620" w:type="dxa"/>
            <w:tcBorders>
              <w:top w:val="nil"/>
              <w:left w:val="nil"/>
              <w:bottom w:val="nil"/>
              <w:right w:val="nil"/>
            </w:tcBorders>
            <w:shd w:val="solid" w:color="D9D9D9" w:fill="FFFFFF"/>
            <w:tcMar>
              <w:top w:w="0" w:type="dxa"/>
              <w:left w:w="60" w:type="dxa"/>
              <w:bottom w:w="0" w:type="dxa"/>
              <w:right w:w="60" w:type="dxa"/>
            </w:tcMar>
            <w:vAlign w:val="center"/>
          </w:tcPr>
          <w:p w14:paraId="731389D4" w14:textId="77777777" w:rsidR="00F73AC4" w:rsidRDefault="00F73AC4" w:rsidP="00F73AC4">
            <w:pPr>
              <w:pStyle w:val="DMETW1139BIPOrganicReconciliation"/>
              <w:jc w:val="right"/>
              <w:rPr>
                <w:b/>
                <w:sz w:val="21"/>
                <w:szCs w:val="21"/>
              </w:rPr>
            </w:pPr>
            <w:r>
              <w:rPr>
                <w:b/>
                <w:sz w:val="21"/>
                <w:szCs w:val="21"/>
              </w:rPr>
              <w:t>Αναπτυγμένες</w:t>
            </w:r>
          </w:p>
          <w:p w14:paraId="7D5E0C7B" w14:textId="4F9B851F" w:rsidR="00587C76" w:rsidRPr="008C61C4" w:rsidRDefault="00F73AC4" w:rsidP="00F73AC4">
            <w:pPr>
              <w:pStyle w:val="DMETW1139BIPOrganicReconciliation"/>
              <w:jc w:val="right"/>
              <w:rPr>
                <w:b/>
                <w:sz w:val="21"/>
                <w:szCs w:val="21"/>
                <w:lang w:val="en-GB"/>
              </w:rPr>
            </w:pPr>
            <w:r>
              <w:rPr>
                <w:b/>
                <w:sz w:val="21"/>
                <w:szCs w:val="21"/>
              </w:rPr>
              <w:t>αγορές</w:t>
            </w:r>
          </w:p>
        </w:tc>
        <w:tc>
          <w:tcPr>
            <w:tcW w:w="1800" w:type="dxa"/>
            <w:tcBorders>
              <w:top w:val="nil"/>
              <w:left w:val="nil"/>
              <w:bottom w:val="nil"/>
              <w:right w:val="nil"/>
            </w:tcBorders>
            <w:shd w:val="solid" w:color="D9D9D9" w:fill="FFFFFF"/>
            <w:tcMar>
              <w:top w:w="0" w:type="dxa"/>
              <w:left w:w="60" w:type="dxa"/>
              <w:bottom w:w="0" w:type="dxa"/>
              <w:right w:w="60" w:type="dxa"/>
            </w:tcMar>
            <w:vAlign w:val="center"/>
          </w:tcPr>
          <w:p w14:paraId="1C11D5E7" w14:textId="584C571F" w:rsidR="00587C76" w:rsidRPr="008C61C4" w:rsidRDefault="00F73AC4" w:rsidP="007B6871">
            <w:pPr>
              <w:pStyle w:val="DMETW1139BIPOrganicReconciliation"/>
              <w:jc w:val="right"/>
              <w:rPr>
                <w:b/>
                <w:sz w:val="21"/>
                <w:szCs w:val="21"/>
                <w:lang w:val="en-GB"/>
              </w:rPr>
            </w:pPr>
            <w:r>
              <w:rPr>
                <w:b/>
                <w:sz w:val="21"/>
                <w:szCs w:val="21"/>
              </w:rPr>
              <w:t>Αναπτυσσόμενες αγορές</w:t>
            </w:r>
          </w:p>
        </w:tc>
        <w:tc>
          <w:tcPr>
            <w:tcW w:w="1533" w:type="dxa"/>
            <w:tcBorders>
              <w:top w:val="nil"/>
              <w:left w:val="nil"/>
              <w:bottom w:val="nil"/>
              <w:right w:val="nil"/>
            </w:tcBorders>
            <w:shd w:val="solid" w:color="D9D9D9" w:fill="FFFFFF"/>
            <w:tcMar>
              <w:top w:w="0" w:type="dxa"/>
              <w:left w:w="60" w:type="dxa"/>
              <w:bottom w:w="0" w:type="dxa"/>
              <w:right w:w="60" w:type="dxa"/>
            </w:tcMar>
            <w:vAlign w:val="center"/>
          </w:tcPr>
          <w:p w14:paraId="7347C546" w14:textId="6D24D961" w:rsidR="00587C76" w:rsidRPr="008C61C4" w:rsidRDefault="00F73AC4" w:rsidP="007B6871">
            <w:pPr>
              <w:pStyle w:val="DMETW1139BIPOrganicReconciliation"/>
              <w:jc w:val="right"/>
              <w:rPr>
                <w:b/>
                <w:sz w:val="21"/>
                <w:szCs w:val="21"/>
                <w:lang w:val="en-GB"/>
              </w:rPr>
            </w:pPr>
            <w:r>
              <w:rPr>
                <w:b/>
                <w:sz w:val="21"/>
                <w:szCs w:val="21"/>
              </w:rPr>
              <w:t>Αναδυόμενες αγορές</w:t>
            </w:r>
          </w:p>
        </w:tc>
      </w:tr>
      <w:tr w:rsidR="00587C76" w:rsidRPr="008C61C4" w14:paraId="4299B933" w14:textId="77777777" w:rsidTr="00F73AC4">
        <w:trPr>
          <w:trHeight w:val="20"/>
        </w:trPr>
        <w:tc>
          <w:tcPr>
            <w:tcW w:w="3598" w:type="dxa"/>
            <w:tcBorders>
              <w:top w:val="nil"/>
              <w:left w:val="nil"/>
              <w:bottom w:val="nil"/>
              <w:right w:val="nil"/>
            </w:tcBorders>
            <w:tcMar>
              <w:top w:w="0" w:type="dxa"/>
              <w:left w:w="60" w:type="dxa"/>
              <w:bottom w:w="0" w:type="dxa"/>
              <w:right w:w="60" w:type="dxa"/>
            </w:tcMar>
            <w:vAlign w:val="bottom"/>
          </w:tcPr>
          <w:p w14:paraId="677F6BC5" w14:textId="472064C4" w:rsidR="00587C76" w:rsidRPr="00F73AC4" w:rsidRDefault="00587C76" w:rsidP="007B6871">
            <w:pPr>
              <w:pStyle w:val="DMETW1139BIPOrganicReconciliation"/>
              <w:rPr>
                <w:sz w:val="21"/>
                <w:szCs w:val="21"/>
              </w:rPr>
            </w:pPr>
            <w:r w:rsidRPr="008C61C4">
              <w:rPr>
                <w:sz w:val="21"/>
                <w:szCs w:val="21"/>
                <w:lang w:val="en-GB"/>
              </w:rPr>
              <w:t xml:space="preserve">2021 </w:t>
            </w:r>
            <w:r w:rsidR="00F73AC4">
              <w:rPr>
                <w:sz w:val="21"/>
                <w:szCs w:val="21"/>
              </w:rPr>
              <w:t>δημοσιευμένα</w:t>
            </w:r>
            <w:r w:rsidR="004D75B0">
              <w:rPr>
                <w:sz w:val="21"/>
                <w:szCs w:val="21"/>
              </w:rPr>
              <w:t xml:space="preserve"> μεγέθη</w:t>
            </w:r>
          </w:p>
        </w:tc>
        <w:tc>
          <w:tcPr>
            <w:tcW w:w="1260" w:type="dxa"/>
            <w:tcBorders>
              <w:top w:val="nil"/>
              <w:left w:val="nil"/>
              <w:bottom w:val="nil"/>
              <w:right w:val="nil"/>
            </w:tcBorders>
            <w:tcMar>
              <w:top w:w="0" w:type="dxa"/>
              <w:left w:w="0" w:type="dxa"/>
              <w:bottom w:w="0" w:type="dxa"/>
              <w:right w:w="0" w:type="dxa"/>
            </w:tcMar>
            <w:vAlign w:val="bottom"/>
          </w:tcPr>
          <w:p w14:paraId="1E56526A" w14:textId="4052ED07" w:rsidR="00587C76" w:rsidRPr="008C61C4" w:rsidRDefault="00587C76" w:rsidP="007B6871">
            <w:pPr>
              <w:pStyle w:val="DMETW1139BIPOrganicReconciliation"/>
              <w:tabs>
                <w:tab w:val="decimal" w:pos="1329"/>
              </w:tabs>
              <w:rPr>
                <w:b/>
                <w:sz w:val="21"/>
                <w:szCs w:val="21"/>
                <w:lang w:val="en-GB"/>
              </w:rPr>
            </w:pPr>
            <w:r w:rsidRPr="008C61C4">
              <w:rPr>
                <w:b/>
                <w:sz w:val="21"/>
                <w:szCs w:val="21"/>
                <w:lang w:val="en-GB"/>
              </w:rPr>
              <w:t xml:space="preserve"> 2</w:t>
            </w:r>
            <w:r w:rsidR="005A53DC">
              <w:rPr>
                <w:b/>
                <w:sz w:val="21"/>
                <w:szCs w:val="21"/>
              </w:rPr>
              <w:t>,</w:t>
            </w:r>
            <w:r w:rsidRPr="008C61C4">
              <w:rPr>
                <w:b/>
                <w:sz w:val="21"/>
                <w:szCs w:val="21"/>
                <w:lang w:val="en-GB"/>
              </w:rPr>
              <w:t>75</w:t>
            </w:r>
          </w:p>
        </w:tc>
        <w:tc>
          <w:tcPr>
            <w:tcW w:w="1620" w:type="dxa"/>
            <w:tcBorders>
              <w:top w:val="nil"/>
              <w:left w:val="nil"/>
              <w:bottom w:val="nil"/>
              <w:right w:val="nil"/>
            </w:tcBorders>
            <w:tcMar>
              <w:top w:w="0" w:type="dxa"/>
              <w:left w:w="0" w:type="dxa"/>
              <w:bottom w:w="0" w:type="dxa"/>
              <w:right w:w="0" w:type="dxa"/>
            </w:tcMar>
            <w:vAlign w:val="bottom"/>
          </w:tcPr>
          <w:p w14:paraId="70A46AEC" w14:textId="59C7B001" w:rsidR="00587C76" w:rsidRPr="008C61C4" w:rsidRDefault="00587C76" w:rsidP="005A53DC">
            <w:pPr>
              <w:pStyle w:val="DMETW1139BIPOrganicReconciliation"/>
              <w:tabs>
                <w:tab w:val="decimal" w:pos="1329"/>
              </w:tabs>
              <w:jc w:val="right"/>
              <w:rPr>
                <w:sz w:val="21"/>
                <w:szCs w:val="21"/>
                <w:lang w:val="en-GB"/>
              </w:rPr>
            </w:pPr>
            <w:r w:rsidRPr="008C61C4">
              <w:rPr>
                <w:sz w:val="21"/>
                <w:szCs w:val="21"/>
                <w:lang w:val="en-GB"/>
              </w:rPr>
              <w:t xml:space="preserve"> 4</w:t>
            </w:r>
            <w:r w:rsidR="005A53DC">
              <w:rPr>
                <w:sz w:val="21"/>
                <w:szCs w:val="21"/>
              </w:rPr>
              <w:t>,</w:t>
            </w:r>
            <w:r w:rsidRPr="008C61C4">
              <w:rPr>
                <w:sz w:val="21"/>
                <w:szCs w:val="21"/>
                <w:lang w:val="en-GB"/>
              </w:rPr>
              <w:t>08</w:t>
            </w:r>
          </w:p>
        </w:tc>
        <w:tc>
          <w:tcPr>
            <w:tcW w:w="1800" w:type="dxa"/>
            <w:tcBorders>
              <w:top w:val="nil"/>
              <w:left w:val="nil"/>
              <w:bottom w:val="nil"/>
              <w:right w:val="nil"/>
            </w:tcBorders>
            <w:tcMar>
              <w:top w:w="0" w:type="dxa"/>
              <w:left w:w="0" w:type="dxa"/>
              <w:bottom w:w="0" w:type="dxa"/>
              <w:right w:w="0" w:type="dxa"/>
            </w:tcMar>
            <w:vAlign w:val="bottom"/>
          </w:tcPr>
          <w:p w14:paraId="6EA6C556" w14:textId="0D0E4646" w:rsidR="00587C76" w:rsidRPr="008C61C4" w:rsidRDefault="00587C76" w:rsidP="005A53DC">
            <w:pPr>
              <w:pStyle w:val="DMETW1139BIPOrganicReconciliation"/>
              <w:tabs>
                <w:tab w:val="decimal" w:pos="1359"/>
              </w:tabs>
              <w:jc w:val="right"/>
              <w:rPr>
                <w:sz w:val="21"/>
                <w:szCs w:val="21"/>
                <w:lang w:val="en-GB"/>
              </w:rPr>
            </w:pPr>
            <w:r w:rsidRPr="008C61C4">
              <w:rPr>
                <w:sz w:val="21"/>
                <w:szCs w:val="21"/>
                <w:lang w:val="en-GB"/>
              </w:rPr>
              <w:t xml:space="preserve"> 2</w:t>
            </w:r>
            <w:r w:rsidR="005A53DC">
              <w:rPr>
                <w:sz w:val="21"/>
                <w:szCs w:val="21"/>
              </w:rPr>
              <w:t>,</w:t>
            </w:r>
            <w:r w:rsidRPr="008C61C4">
              <w:rPr>
                <w:sz w:val="21"/>
                <w:szCs w:val="21"/>
                <w:lang w:val="en-GB"/>
              </w:rPr>
              <w:t>93</w:t>
            </w:r>
          </w:p>
        </w:tc>
        <w:tc>
          <w:tcPr>
            <w:tcW w:w="1533" w:type="dxa"/>
            <w:tcBorders>
              <w:top w:val="nil"/>
              <w:left w:val="nil"/>
              <w:bottom w:val="nil"/>
              <w:right w:val="nil"/>
            </w:tcBorders>
            <w:tcMar>
              <w:top w:w="0" w:type="dxa"/>
              <w:left w:w="0" w:type="dxa"/>
              <w:bottom w:w="0" w:type="dxa"/>
              <w:right w:w="0" w:type="dxa"/>
            </w:tcMar>
            <w:vAlign w:val="bottom"/>
          </w:tcPr>
          <w:p w14:paraId="0EED59C6" w14:textId="66B6266D" w:rsidR="00587C76" w:rsidRPr="008C61C4" w:rsidRDefault="00587C76" w:rsidP="005A53DC">
            <w:pPr>
              <w:pStyle w:val="DMETW1139BIPOrganicReconciliation"/>
              <w:tabs>
                <w:tab w:val="decimal" w:pos="1359"/>
              </w:tabs>
              <w:jc w:val="right"/>
              <w:rPr>
                <w:sz w:val="21"/>
                <w:szCs w:val="21"/>
                <w:lang w:val="en-GB"/>
              </w:rPr>
            </w:pPr>
            <w:r w:rsidRPr="008C61C4">
              <w:rPr>
                <w:sz w:val="21"/>
                <w:szCs w:val="21"/>
                <w:lang w:val="en-GB"/>
              </w:rPr>
              <w:t xml:space="preserve"> 2</w:t>
            </w:r>
            <w:r w:rsidR="005A53DC">
              <w:rPr>
                <w:sz w:val="21"/>
                <w:szCs w:val="21"/>
              </w:rPr>
              <w:t>,</w:t>
            </w:r>
            <w:r w:rsidRPr="008C61C4">
              <w:rPr>
                <w:sz w:val="21"/>
                <w:szCs w:val="21"/>
                <w:lang w:val="en-GB"/>
              </w:rPr>
              <w:t>17</w:t>
            </w:r>
          </w:p>
        </w:tc>
      </w:tr>
      <w:tr w:rsidR="00587C76" w:rsidRPr="008C61C4" w14:paraId="6EA23049" w14:textId="77777777" w:rsidTr="00F73AC4">
        <w:trPr>
          <w:trHeight w:val="20"/>
        </w:trPr>
        <w:tc>
          <w:tcPr>
            <w:tcW w:w="3598" w:type="dxa"/>
            <w:tcBorders>
              <w:top w:val="nil"/>
              <w:left w:val="nil"/>
              <w:bottom w:val="nil"/>
              <w:right w:val="nil"/>
            </w:tcBorders>
            <w:tcMar>
              <w:top w:w="0" w:type="dxa"/>
              <w:left w:w="60" w:type="dxa"/>
              <w:bottom w:w="0" w:type="dxa"/>
              <w:right w:w="60" w:type="dxa"/>
            </w:tcMar>
            <w:vAlign w:val="bottom"/>
          </w:tcPr>
          <w:p w14:paraId="1E62C32E" w14:textId="1E757398" w:rsidR="00587C76" w:rsidRPr="00F73AC4" w:rsidRDefault="00F73AC4" w:rsidP="007B6871">
            <w:pPr>
              <w:pStyle w:val="DMETW1139BIPOrganicReconciliation"/>
              <w:rPr>
                <w:sz w:val="21"/>
                <w:szCs w:val="21"/>
              </w:rPr>
            </w:pPr>
            <w:r>
              <w:rPr>
                <w:sz w:val="21"/>
                <w:szCs w:val="21"/>
              </w:rPr>
              <w:t>Συναλλαγματική επίδραση</w:t>
            </w:r>
          </w:p>
        </w:tc>
        <w:tc>
          <w:tcPr>
            <w:tcW w:w="1260" w:type="dxa"/>
            <w:tcBorders>
              <w:top w:val="nil"/>
              <w:left w:val="nil"/>
              <w:bottom w:val="nil"/>
              <w:right w:val="nil"/>
            </w:tcBorders>
            <w:tcMar>
              <w:top w:w="0" w:type="dxa"/>
              <w:left w:w="0" w:type="dxa"/>
              <w:bottom w:w="0" w:type="dxa"/>
              <w:right w:w="0" w:type="dxa"/>
            </w:tcMar>
            <w:vAlign w:val="bottom"/>
          </w:tcPr>
          <w:p w14:paraId="4DE67388" w14:textId="77777777" w:rsidR="00587C76" w:rsidRPr="008C61C4" w:rsidRDefault="00587C76" w:rsidP="007B6871">
            <w:pPr>
              <w:pStyle w:val="DMETW1139BIPOrganicReconciliation"/>
              <w:tabs>
                <w:tab w:val="decimal" w:pos="1329"/>
              </w:tabs>
              <w:rPr>
                <w:b/>
                <w:bCs/>
                <w:sz w:val="21"/>
                <w:szCs w:val="21"/>
                <w:lang w:val="en-GB"/>
              </w:rPr>
            </w:pPr>
            <w:r w:rsidRPr="008C61C4">
              <w:rPr>
                <w:b/>
                <w:sz w:val="21"/>
                <w:szCs w:val="21"/>
                <w:lang w:val="en-GB"/>
              </w:rPr>
              <w:t xml:space="preserve"> </w:t>
            </w:r>
            <w:r w:rsidRPr="008C61C4">
              <w:rPr>
                <w:b/>
                <w:bCs/>
                <w:sz w:val="21"/>
                <w:szCs w:val="21"/>
                <w:lang w:val="en-GB"/>
              </w:rPr>
              <w:t>—</w:t>
            </w:r>
          </w:p>
        </w:tc>
        <w:tc>
          <w:tcPr>
            <w:tcW w:w="1620" w:type="dxa"/>
            <w:tcBorders>
              <w:top w:val="nil"/>
              <w:left w:val="nil"/>
              <w:bottom w:val="nil"/>
              <w:right w:val="nil"/>
            </w:tcBorders>
            <w:tcMar>
              <w:top w:w="0" w:type="dxa"/>
              <w:left w:w="0" w:type="dxa"/>
              <w:bottom w:w="0" w:type="dxa"/>
              <w:right w:w="0" w:type="dxa"/>
            </w:tcMar>
            <w:vAlign w:val="bottom"/>
          </w:tcPr>
          <w:p w14:paraId="1CEB0E9C" w14:textId="0CB53190" w:rsidR="00587C76" w:rsidRPr="008C61C4" w:rsidRDefault="00587C76" w:rsidP="005A53DC">
            <w:pPr>
              <w:pStyle w:val="DMETW1139BIPOrganicReconciliation"/>
              <w:tabs>
                <w:tab w:val="decimal" w:pos="1329"/>
              </w:tabs>
              <w:jc w:val="right"/>
              <w:rPr>
                <w:sz w:val="21"/>
                <w:szCs w:val="21"/>
                <w:lang w:val="en-GB"/>
              </w:rPr>
            </w:pPr>
            <w:r w:rsidRPr="008C61C4">
              <w:rPr>
                <w:sz w:val="21"/>
                <w:szCs w:val="21"/>
                <w:lang w:val="en-GB"/>
              </w:rPr>
              <w:t xml:space="preserve"> 0</w:t>
            </w:r>
            <w:r w:rsidR="005A53DC">
              <w:rPr>
                <w:sz w:val="21"/>
                <w:szCs w:val="21"/>
              </w:rPr>
              <w:t>,</w:t>
            </w:r>
            <w:r w:rsidRPr="008C61C4">
              <w:rPr>
                <w:sz w:val="21"/>
                <w:szCs w:val="21"/>
                <w:lang w:val="en-GB"/>
              </w:rPr>
              <w:t>05</w:t>
            </w:r>
          </w:p>
        </w:tc>
        <w:tc>
          <w:tcPr>
            <w:tcW w:w="1800" w:type="dxa"/>
            <w:tcBorders>
              <w:top w:val="nil"/>
              <w:left w:val="nil"/>
              <w:bottom w:val="nil"/>
              <w:right w:val="nil"/>
            </w:tcBorders>
            <w:tcMar>
              <w:top w:w="0" w:type="dxa"/>
              <w:left w:w="0" w:type="dxa"/>
              <w:bottom w:w="0" w:type="dxa"/>
              <w:right w:w="0" w:type="dxa"/>
            </w:tcMar>
            <w:vAlign w:val="bottom"/>
          </w:tcPr>
          <w:p w14:paraId="009C4739" w14:textId="39634039" w:rsidR="00587C76" w:rsidRPr="008C61C4" w:rsidRDefault="00587C76" w:rsidP="005A53DC">
            <w:pPr>
              <w:pStyle w:val="DMETW1139BIPOrganicReconciliation"/>
              <w:tabs>
                <w:tab w:val="decimal" w:pos="1359"/>
              </w:tabs>
              <w:jc w:val="right"/>
              <w:rPr>
                <w:sz w:val="21"/>
                <w:szCs w:val="21"/>
                <w:lang w:val="en-GB"/>
              </w:rPr>
            </w:pPr>
            <w:r w:rsidRPr="008C61C4">
              <w:rPr>
                <w:sz w:val="21"/>
                <w:szCs w:val="21"/>
                <w:lang w:val="en-GB"/>
              </w:rPr>
              <w:t xml:space="preserve"> (0</w:t>
            </w:r>
            <w:r w:rsidR="005A53DC">
              <w:rPr>
                <w:sz w:val="21"/>
                <w:szCs w:val="21"/>
              </w:rPr>
              <w:t>,</w:t>
            </w:r>
            <w:r w:rsidRPr="008C61C4">
              <w:rPr>
                <w:sz w:val="21"/>
                <w:szCs w:val="21"/>
                <w:lang w:val="en-GB"/>
              </w:rPr>
              <w:t>01)</w:t>
            </w:r>
          </w:p>
        </w:tc>
        <w:tc>
          <w:tcPr>
            <w:tcW w:w="1533" w:type="dxa"/>
            <w:tcBorders>
              <w:top w:val="nil"/>
              <w:left w:val="nil"/>
              <w:bottom w:val="nil"/>
              <w:right w:val="nil"/>
            </w:tcBorders>
            <w:tcMar>
              <w:top w:w="0" w:type="dxa"/>
              <w:left w:w="0" w:type="dxa"/>
              <w:bottom w:w="0" w:type="dxa"/>
              <w:right w:w="0" w:type="dxa"/>
            </w:tcMar>
            <w:vAlign w:val="bottom"/>
          </w:tcPr>
          <w:p w14:paraId="0665134D" w14:textId="46BD1594" w:rsidR="00587C76" w:rsidRPr="008C61C4" w:rsidRDefault="00587C76" w:rsidP="005A53DC">
            <w:pPr>
              <w:pStyle w:val="DMETW1139BIPOrganicReconciliation"/>
              <w:tabs>
                <w:tab w:val="decimal" w:pos="1359"/>
              </w:tabs>
              <w:jc w:val="right"/>
              <w:rPr>
                <w:sz w:val="21"/>
                <w:szCs w:val="21"/>
                <w:lang w:val="en-GB"/>
              </w:rPr>
            </w:pPr>
            <w:r w:rsidRPr="008C61C4">
              <w:rPr>
                <w:sz w:val="21"/>
                <w:szCs w:val="21"/>
                <w:lang w:val="en-GB"/>
              </w:rPr>
              <w:t xml:space="preserve"> (0</w:t>
            </w:r>
            <w:r w:rsidR="005A53DC">
              <w:rPr>
                <w:sz w:val="21"/>
                <w:szCs w:val="21"/>
              </w:rPr>
              <w:t>,</w:t>
            </w:r>
            <w:r w:rsidRPr="008C61C4">
              <w:rPr>
                <w:sz w:val="21"/>
                <w:szCs w:val="21"/>
                <w:lang w:val="en-GB"/>
              </w:rPr>
              <w:t>03)</w:t>
            </w:r>
          </w:p>
        </w:tc>
      </w:tr>
      <w:tr w:rsidR="00587C76" w:rsidRPr="008C61C4" w14:paraId="48B09D24" w14:textId="77777777" w:rsidTr="00F73AC4">
        <w:trPr>
          <w:trHeight w:val="20"/>
        </w:trPr>
        <w:tc>
          <w:tcPr>
            <w:tcW w:w="3598" w:type="dxa"/>
            <w:tcBorders>
              <w:top w:val="nil"/>
              <w:left w:val="nil"/>
              <w:bottom w:val="nil"/>
              <w:right w:val="nil"/>
            </w:tcBorders>
            <w:tcMar>
              <w:top w:w="0" w:type="dxa"/>
              <w:left w:w="60" w:type="dxa"/>
              <w:bottom w:w="0" w:type="dxa"/>
              <w:right w:w="60" w:type="dxa"/>
            </w:tcMar>
            <w:vAlign w:val="bottom"/>
          </w:tcPr>
          <w:p w14:paraId="5F235883" w14:textId="42D54EDE" w:rsidR="00587C76" w:rsidRPr="00F73AC4" w:rsidRDefault="00587C76" w:rsidP="007B6871">
            <w:pPr>
              <w:pStyle w:val="DMETW1139BIPOrganicReconciliation"/>
              <w:rPr>
                <w:sz w:val="21"/>
                <w:szCs w:val="21"/>
              </w:rPr>
            </w:pPr>
            <w:r w:rsidRPr="008C61C4">
              <w:rPr>
                <w:sz w:val="21"/>
                <w:szCs w:val="21"/>
                <w:lang w:val="en-GB"/>
              </w:rPr>
              <w:t xml:space="preserve">2021 </w:t>
            </w:r>
            <w:r w:rsidR="00F73AC4">
              <w:rPr>
                <w:sz w:val="21"/>
                <w:szCs w:val="21"/>
              </w:rPr>
              <w:t>προσαρμοσμένα</w:t>
            </w:r>
            <w:r w:rsidR="004D75B0">
              <w:rPr>
                <w:sz w:val="21"/>
                <w:szCs w:val="21"/>
              </w:rPr>
              <w:t xml:space="preserve"> μεγέθη</w:t>
            </w:r>
          </w:p>
        </w:tc>
        <w:tc>
          <w:tcPr>
            <w:tcW w:w="1260" w:type="dxa"/>
            <w:tcBorders>
              <w:top w:val="nil"/>
              <w:left w:val="nil"/>
              <w:bottom w:val="nil"/>
              <w:right w:val="nil"/>
            </w:tcBorders>
            <w:tcMar>
              <w:top w:w="0" w:type="dxa"/>
              <w:left w:w="0" w:type="dxa"/>
              <w:bottom w:w="0" w:type="dxa"/>
              <w:right w:w="0" w:type="dxa"/>
            </w:tcMar>
            <w:vAlign w:val="bottom"/>
          </w:tcPr>
          <w:p w14:paraId="6A077B12" w14:textId="09814562" w:rsidR="00587C76" w:rsidRPr="008C61C4" w:rsidRDefault="00587C76" w:rsidP="007B6871">
            <w:pPr>
              <w:pStyle w:val="DMETW1139BIPOrganicReconciliation"/>
              <w:tabs>
                <w:tab w:val="decimal" w:pos="1329"/>
              </w:tabs>
              <w:rPr>
                <w:b/>
                <w:sz w:val="21"/>
                <w:szCs w:val="21"/>
                <w:lang w:val="en-GB"/>
              </w:rPr>
            </w:pPr>
            <w:r w:rsidRPr="008C61C4">
              <w:rPr>
                <w:b/>
                <w:sz w:val="21"/>
                <w:szCs w:val="21"/>
                <w:lang w:val="en-GB"/>
              </w:rPr>
              <w:t xml:space="preserve"> 2</w:t>
            </w:r>
            <w:r w:rsidR="005A53DC">
              <w:rPr>
                <w:b/>
                <w:sz w:val="21"/>
                <w:szCs w:val="21"/>
              </w:rPr>
              <w:t>,</w:t>
            </w:r>
            <w:r w:rsidRPr="008C61C4">
              <w:rPr>
                <w:b/>
                <w:sz w:val="21"/>
                <w:szCs w:val="21"/>
                <w:lang w:val="en-GB"/>
              </w:rPr>
              <w:t>75</w:t>
            </w:r>
          </w:p>
        </w:tc>
        <w:tc>
          <w:tcPr>
            <w:tcW w:w="1620" w:type="dxa"/>
            <w:tcBorders>
              <w:top w:val="nil"/>
              <w:left w:val="nil"/>
              <w:bottom w:val="nil"/>
              <w:right w:val="nil"/>
            </w:tcBorders>
            <w:tcMar>
              <w:top w:w="0" w:type="dxa"/>
              <w:left w:w="0" w:type="dxa"/>
              <w:bottom w:w="0" w:type="dxa"/>
              <w:right w:w="0" w:type="dxa"/>
            </w:tcMar>
            <w:vAlign w:val="bottom"/>
          </w:tcPr>
          <w:p w14:paraId="3C094771" w14:textId="200C4C7C" w:rsidR="00587C76" w:rsidRPr="008C61C4" w:rsidRDefault="00587C76" w:rsidP="005A53DC">
            <w:pPr>
              <w:pStyle w:val="DMETW1139BIPOrganicReconciliation"/>
              <w:tabs>
                <w:tab w:val="decimal" w:pos="1329"/>
              </w:tabs>
              <w:jc w:val="right"/>
              <w:rPr>
                <w:sz w:val="21"/>
                <w:szCs w:val="21"/>
                <w:lang w:val="en-GB"/>
              </w:rPr>
            </w:pPr>
            <w:r w:rsidRPr="008C61C4">
              <w:rPr>
                <w:sz w:val="21"/>
                <w:szCs w:val="21"/>
                <w:lang w:val="en-GB"/>
              </w:rPr>
              <w:t xml:space="preserve"> 4</w:t>
            </w:r>
            <w:r w:rsidR="005A53DC">
              <w:rPr>
                <w:sz w:val="21"/>
                <w:szCs w:val="21"/>
              </w:rPr>
              <w:t>,</w:t>
            </w:r>
            <w:r w:rsidRPr="008C61C4">
              <w:rPr>
                <w:sz w:val="21"/>
                <w:szCs w:val="21"/>
                <w:lang w:val="en-GB"/>
              </w:rPr>
              <w:t>13</w:t>
            </w:r>
          </w:p>
        </w:tc>
        <w:tc>
          <w:tcPr>
            <w:tcW w:w="1800" w:type="dxa"/>
            <w:tcBorders>
              <w:top w:val="nil"/>
              <w:left w:val="nil"/>
              <w:bottom w:val="nil"/>
              <w:right w:val="nil"/>
            </w:tcBorders>
            <w:tcMar>
              <w:top w:w="0" w:type="dxa"/>
              <w:left w:w="0" w:type="dxa"/>
              <w:bottom w:w="0" w:type="dxa"/>
              <w:right w:w="0" w:type="dxa"/>
            </w:tcMar>
            <w:vAlign w:val="bottom"/>
          </w:tcPr>
          <w:p w14:paraId="4B069517" w14:textId="7836A87C" w:rsidR="00587C76" w:rsidRPr="008C61C4" w:rsidRDefault="00587C76" w:rsidP="005A53DC">
            <w:pPr>
              <w:pStyle w:val="DMETW1139BIPOrganicReconciliation"/>
              <w:tabs>
                <w:tab w:val="decimal" w:pos="1359"/>
              </w:tabs>
              <w:jc w:val="right"/>
              <w:rPr>
                <w:sz w:val="21"/>
                <w:szCs w:val="21"/>
                <w:lang w:val="en-GB"/>
              </w:rPr>
            </w:pPr>
            <w:r w:rsidRPr="008C61C4">
              <w:rPr>
                <w:sz w:val="21"/>
                <w:szCs w:val="21"/>
                <w:lang w:val="en-GB"/>
              </w:rPr>
              <w:t xml:space="preserve"> 2</w:t>
            </w:r>
            <w:r w:rsidR="005A53DC">
              <w:rPr>
                <w:sz w:val="21"/>
                <w:szCs w:val="21"/>
              </w:rPr>
              <w:t>,</w:t>
            </w:r>
            <w:r w:rsidRPr="008C61C4">
              <w:rPr>
                <w:sz w:val="21"/>
                <w:szCs w:val="21"/>
                <w:lang w:val="en-GB"/>
              </w:rPr>
              <w:t>92</w:t>
            </w:r>
          </w:p>
        </w:tc>
        <w:tc>
          <w:tcPr>
            <w:tcW w:w="1533" w:type="dxa"/>
            <w:tcBorders>
              <w:top w:val="nil"/>
              <w:left w:val="nil"/>
              <w:bottom w:val="nil"/>
              <w:right w:val="nil"/>
            </w:tcBorders>
            <w:tcMar>
              <w:top w:w="0" w:type="dxa"/>
              <w:left w:w="0" w:type="dxa"/>
              <w:bottom w:w="0" w:type="dxa"/>
              <w:right w:w="0" w:type="dxa"/>
            </w:tcMar>
            <w:vAlign w:val="bottom"/>
          </w:tcPr>
          <w:p w14:paraId="5692616E" w14:textId="77A49690" w:rsidR="00587C76" w:rsidRPr="008C61C4" w:rsidRDefault="00587C76" w:rsidP="005A53DC">
            <w:pPr>
              <w:pStyle w:val="DMETW1139BIPOrganicReconciliation"/>
              <w:tabs>
                <w:tab w:val="decimal" w:pos="1359"/>
              </w:tabs>
              <w:jc w:val="right"/>
              <w:rPr>
                <w:sz w:val="21"/>
                <w:szCs w:val="21"/>
                <w:lang w:val="en-GB"/>
              </w:rPr>
            </w:pPr>
            <w:r w:rsidRPr="008C61C4">
              <w:rPr>
                <w:sz w:val="21"/>
                <w:szCs w:val="21"/>
                <w:lang w:val="en-GB"/>
              </w:rPr>
              <w:t xml:space="preserve"> 2</w:t>
            </w:r>
            <w:r w:rsidR="005A53DC">
              <w:rPr>
                <w:sz w:val="21"/>
                <w:szCs w:val="21"/>
              </w:rPr>
              <w:t>,</w:t>
            </w:r>
            <w:r w:rsidRPr="008C61C4">
              <w:rPr>
                <w:sz w:val="21"/>
                <w:szCs w:val="21"/>
                <w:lang w:val="en-GB"/>
              </w:rPr>
              <w:t>14</w:t>
            </w:r>
          </w:p>
        </w:tc>
      </w:tr>
      <w:tr w:rsidR="00587C76" w:rsidRPr="008C61C4" w14:paraId="36088395" w14:textId="77777777" w:rsidTr="00F73AC4">
        <w:trPr>
          <w:trHeight w:val="20"/>
        </w:trPr>
        <w:tc>
          <w:tcPr>
            <w:tcW w:w="3598" w:type="dxa"/>
            <w:tcBorders>
              <w:top w:val="nil"/>
              <w:left w:val="nil"/>
              <w:bottom w:val="nil"/>
              <w:right w:val="nil"/>
            </w:tcBorders>
            <w:tcMar>
              <w:top w:w="0" w:type="dxa"/>
              <w:left w:w="60" w:type="dxa"/>
              <w:bottom w:w="0" w:type="dxa"/>
              <w:right w:w="60" w:type="dxa"/>
            </w:tcMar>
            <w:vAlign w:val="bottom"/>
          </w:tcPr>
          <w:p w14:paraId="3A89424C" w14:textId="5158EC42" w:rsidR="00587C76" w:rsidRPr="00F73AC4" w:rsidRDefault="00F73AC4" w:rsidP="007B6871">
            <w:pPr>
              <w:pStyle w:val="DMETW1139BIPOrganicReconciliation"/>
              <w:rPr>
                <w:sz w:val="21"/>
                <w:szCs w:val="21"/>
              </w:rPr>
            </w:pPr>
            <w:r>
              <w:rPr>
                <w:sz w:val="21"/>
                <w:szCs w:val="21"/>
              </w:rPr>
              <w:t>Επίδραση περιοχής ενοποίησης</w:t>
            </w:r>
          </w:p>
        </w:tc>
        <w:tc>
          <w:tcPr>
            <w:tcW w:w="1260" w:type="dxa"/>
            <w:tcBorders>
              <w:top w:val="nil"/>
              <w:left w:val="nil"/>
              <w:bottom w:val="nil"/>
              <w:right w:val="nil"/>
            </w:tcBorders>
            <w:tcMar>
              <w:top w:w="0" w:type="dxa"/>
              <w:left w:w="0" w:type="dxa"/>
              <w:bottom w:w="0" w:type="dxa"/>
              <w:right w:w="0" w:type="dxa"/>
            </w:tcMar>
            <w:vAlign w:val="bottom"/>
          </w:tcPr>
          <w:p w14:paraId="3EC13DBE" w14:textId="68F3949B" w:rsidR="00587C76" w:rsidRPr="008C61C4" w:rsidRDefault="00587C76" w:rsidP="007B6871">
            <w:pPr>
              <w:pStyle w:val="DMETW1139BIPOrganicReconciliation"/>
              <w:tabs>
                <w:tab w:val="decimal" w:pos="1329"/>
              </w:tabs>
              <w:rPr>
                <w:b/>
                <w:sz w:val="21"/>
                <w:szCs w:val="21"/>
                <w:lang w:val="en-GB"/>
              </w:rPr>
            </w:pPr>
            <w:r w:rsidRPr="008C61C4">
              <w:rPr>
                <w:b/>
                <w:sz w:val="21"/>
                <w:szCs w:val="21"/>
                <w:lang w:val="en-GB"/>
              </w:rPr>
              <w:t xml:space="preserve"> (0</w:t>
            </w:r>
            <w:r w:rsidR="005A53DC">
              <w:rPr>
                <w:b/>
                <w:sz w:val="21"/>
                <w:szCs w:val="21"/>
              </w:rPr>
              <w:t>,</w:t>
            </w:r>
            <w:r w:rsidRPr="008C61C4">
              <w:rPr>
                <w:b/>
                <w:sz w:val="21"/>
                <w:szCs w:val="21"/>
                <w:lang w:val="en-GB"/>
              </w:rPr>
              <w:t>15)</w:t>
            </w:r>
          </w:p>
        </w:tc>
        <w:tc>
          <w:tcPr>
            <w:tcW w:w="1620" w:type="dxa"/>
            <w:tcBorders>
              <w:top w:val="nil"/>
              <w:left w:val="nil"/>
              <w:bottom w:val="nil"/>
              <w:right w:val="nil"/>
            </w:tcBorders>
            <w:tcMar>
              <w:top w:w="0" w:type="dxa"/>
              <w:left w:w="0" w:type="dxa"/>
              <w:bottom w:w="0" w:type="dxa"/>
              <w:right w:w="0" w:type="dxa"/>
            </w:tcMar>
            <w:vAlign w:val="bottom"/>
          </w:tcPr>
          <w:p w14:paraId="166A7D97" w14:textId="77777777" w:rsidR="00587C76" w:rsidRPr="008C61C4" w:rsidRDefault="00587C76" w:rsidP="005A53DC">
            <w:pPr>
              <w:pStyle w:val="DMETW1139BIPOrganicReconciliation"/>
              <w:tabs>
                <w:tab w:val="decimal" w:pos="1329"/>
              </w:tabs>
              <w:jc w:val="right"/>
              <w:rPr>
                <w:sz w:val="21"/>
                <w:szCs w:val="21"/>
                <w:lang w:val="en-GB"/>
              </w:rPr>
            </w:pPr>
            <w:r w:rsidRPr="008C61C4">
              <w:rPr>
                <w:sz w:val="21"/>
                <w:szCs w:val="21"/>
                <w:lang w:val="en-GB"/>
              </w:rPr>
              <w:t>—</w:t>
            </w:r>
          </w:p>
        </w:tc>
        <w:tc>
          <w:tcPr>
            <w:tcW w:w="1800" w:type="dxa"/>
            <w:tcBorders>
              <w:top w:val="nil"/>
              <w:left w:val="nil"/>
              <w:bottom w:val="nil"/>
              <w:right w:val="nil"/>
            </w:tcBorders>
            <w:tcMar>
              <w:top w:w="0" w:type="dxa"/>
              <w:left w:w="0" w:type="dxa"/>
              <w:bottom w:w="0" w:type="dxa"/>
              <w:right w:w="0" w:type="dxa"/>
            </w:tcMar>
            <w:vAlign w:val="bottom"/>
          </w:tcPr>
          <w:p w14:paraId="0E60BBFC" w14:textId="77777777" w:rsidR="00587C76" w:rsidRPr="008C61C4" w:rsidRDefault="00587C76" w:rsidP="005A53DC">
            <w:pPr>
              <w:pStyle w:val="DMETW1139BIPOrganicReconciliation"/>
              <w:tabs>
                <w:tab w:val="decimal" w:pos="1359"/>
              </w:tabs>
              <w:jc w:val="right"/>
              <w:rPr>
                <w:sz w:val="21"/>
                <w:szCs w:val="21"/>
                <w:lang w:val="en-GB"/>
              </w:rPr>
            </w:pPr>
            <w:r w:rsidRPr="008C61C4">
              <w:rPr>
                <w:sz w:val="21"/>
                <w:szCs w:val="21"/>
                <w:lang w:val="en-GB"/>
              </w:rPr>
              <w:t>—</w:t>
            </w:r>
          </w:p>
        </w:tc>
        <w:tc>
          <w:tcPr>
            <w:tcW w:w="1533" w:type="dxa"/>
            <w:tcBorders>
              <w:top w:val="nil"/>
              <w:left w:val="nil"/>
              <w:bottom w:val="nil"/>
              <w:right w:val="nil"/>
            </w:tcBorders>
            <w:tcMar>
              <w:top w:w="0" w:type="dxa"/>
              <w:left w:w="0" w:type="dxa"/>
              <w:bottom w:w="0" w:type="dxa"/>
              <w:right w:w="0" w:type="dxa"/>
            </w:tcMar>
            <w:vAlign w:val="bottom"/>
          </w:tcPr>
          <w:p w14:paraId="301879E1" w14:textId="76695AA5" w:rsidR="00587C76" w:rsidRPr="008C61C4" w:rsidRDefault="00587C76" w:rsidP="005A53DC">
            <w:pPr>
              <w:pStyle w:val="DMETW1139BIPOrganicReconciliation"/>
              <w:tabs>
                <w:tab w:val="decimal" w:pos="1359"/>
              </w:tabs>
              <w:jc w:val="right"/>
              <w:rPr>
                <w:sz w:val="21"/>
                <w:szCs w:val="21"/>
                <w:lang w:val="en-GB"/>
              </w:rPr>
            </w:pPr>
            <w:r w:rsidRPr="008C61C4">
              <w:rPr>
                <w:sz w:val="21"/>
                <w:szCs w:val="21"/>
                <w:lang w:val="en-GB"/>
              </w:rPr>
              <w:t xml:space="preserve"> (0</w:t>
            </w:r>
            <w:r w:rsidR="005A53DC">
              <w:rPr>
                <w:sz w:val="21"/>
                <w:szCs w:val="21"/>
              </w:rPr>
              <w:t>,</w:t>
            </w:r>
            <w:r w:rsidRPr="008C61C4">
              <w:rPr>
                <w:sz w:val="21"/>
                <w:szCs w:val="21"/>
                <w:lang w:val="en-GB"/>
              </w:rPr>
              <w:t>12)</w:t>
            </w:r>
          </w:p>
        </w:tc>
      </w:tr>
      <w:tr w:rsidR="00587C76" w:rsidRPr="008C61C4" w14:paraId="02F2B6BA" w14:textId="77777777" w:rsidTr="00F73AC4">
        <w:trPr>
          <w:trHeight w:val="20"/>
        </w:trPr>
        <w:tc>
          <w:tcPr>
            <w:tcW w:w="3598" w:type="dxa"/>
            <w:tcBorders>
              <w:top w:val="nil"/>
              <w:left w:val="nil"/>
              <w:bottom w:val="nil"/>
              <w:right w:val="nil"/>
            </w:tcBorders>
            <w:tcMar>
              <w:top w:w="0" w:type="dxa"/>
              <w:left w:w="60" w:type="dxa"/>
              <w:bottom w:w="0" w:type="dxa"/>
              <w:right w:w="60" w:type="dxa"/>
            </w:tcMar>
            <w:vAlign w:val="bottom"/>
          </w:tcPr>
          <w:p w14:paraId="7FACB29B" w14:textId="066C4194" w:rsidR="00587C76" w:rsidRPr="00F73AC4" w:rsidRDefault="00F73AC4" w:rsidP="007B6871">
            <w:pPr>
              <w:pStyle w:val="DMETW1139BIPOrganicReconciliation"/>
              <w:rPr>
                <w:sz w:val="21"/>
                <w:szCs w:val="21"/>
              </w:rPr>
            </w:pPr>
            <w:r>
              <w:rPr>
                <w:sz w:val="21"/>
                <w:szCs w:val="21"/>
              </w:rPr>
              <w:t>Οργανική μεταβολή</w:t>
            </w:r>
          </w:p>
        </w:tc>
        <w:tc>
          <w:tcPr>
            <w:tcW w:w="1260" w:type="dxa"/>
            <w:tcBorders>
              <w:top w:val="nil"/>
              <w:left w:val="nil"/>
              <w:bottom w:val="nil"/>
              <w:right w:val="nil"/>
            </w:tcBorders>
            <w:tcMar>
              <w:top w:w="0" w:type="dxa"/>
              <w:left w:w="0" w:type="dxa"/>
              <w:bottom w:w="0" w:type="dxa"/>
              <w:right w:w="0" w:type="dxa"/>
            </w:tcMar>
            <w:vAlign w:val="bottom"/>
          </w:tcPr>
          <w:p w14:paraId="1F4CEF74" w14:textId="7A6C72AE" w:rsidR="00587C76" w:rsidRPr="008C61C4" w:rsidRDefault="00587C76" w:rsidP="007B6871">
            <w:pPr>
              <w:pStyle w:val="DMETW1139BIPOrganicReconciliation"/>
              <w:tabs>
                <w:tab w:val="decimal" w:pos="1329"/>
              </w:tabs>
              <w:rPr>
                <w:b/>
                <w:sz w:val="21"/>
                <w:szCs w:val="21"/>
                <w:lang w:val="en-GB"/>
              </w:rPr>
            </w:pPr>
            <w:r w:rsidRPr="008C61C4">
              <w:rPr>
                <w:b/>
                <w:sz w:val="21"/>
                <w:szCs w:val="21"/>
                <w:lang w:val="en-GB"/>
              </w:rPr>
              <w:t xml:space="preserve"> 0</w:t>
            </w:r>
            <w:r w:rsidR="005A53DC">
              <w:rPr>
                <w:b/>
                <w:sz w:val="21"/>
                <w:szCs w:val="21"/>
              </w:rPr>
              <w:t>,</w:t>
            </w:r>
            <w:r w:rsidRPr="008C61C4">
              <w:rPr>
                <w:b/>
                <w:sz w:val="21"/>
                <w:szCs w:val="21"/>
                <w:lang w:val="en-GB"/>
              </w:rPr>
              <w:t>32</w:t>
            </w:r>
          </w:p>
        </w:tc>
        <w:tc>
          <w:tcPr>
            <w:tcW w:w="1620" w:type="dxa"/>
            <w:tcBorders>
              <w:top w:val="nil"/>
              <w:left w:val="nil"/>
              <w:bottom w:val="nil"/>
              <w:right w:val="nil"/>
            </w:tcBorders>
            <w:tcMar>
              <w:top w:w="0" w:type="dxa"/>
              <w:left w:w="0" w:type="dxa"/>
              <w:bottom w:w="0" w:type="dxa"/>
              <w:right w:w="0" w:type="dxa"/>
            </w:tcMar>
            <w:vAlign w:val="bottom"/>
          </w:tcPr>
          <w:p w14:paraId="658AF474" w14:textId="2A72AE42" w:rsidR="00587C76" w:rsidRPr="008C61C4" w:rsidRDefault="00587C76" w:rsidP="005A53DC">
            <w:pPr>
              <w:pStyle w:val="DMETW1139BIPOrganicReconciliation"/>
              <w:tabs>
                <w:tab w:val="decimal" w:pos="1329"/>
              </w:tabs>
              <w:jc w:val="right"/>
              <w:rPr>
                <w:sz w:val="21"/>
                <w:szCs w:val="21"/>
                <w:lang w:val="en-GB"/>
              </w:rPr>
            </w:pPr>
            <w:r w:rsidRPr="008C61C4">
              <w:rPr>
                <w:sz w:val="21"/>
                <w:szCs w:val="21"/>
                <w:lang w:val="en-GB"/>
              </w:rPr>
              <w:t xml:space="preserve"> 0</w:t>
            </w:r>
            <w:r w:rsidR="005A53DC">
              <w:rPr>
                <w:sz w:val="21"/>
                <w:szCs w:val="21"/>
              </w:rPr>
              <w:t>,</w:t>
            </w:r>
            <w:r w:rsidRPr="008C61C4">
              <w:rPr>
                <w:sz w:val="21"/>
                <w:szCs w:val="21"/>
                <w:lang w:val="en-GB"/>
              </w:rPr>
              <w:t>32</w:t>
            </w:r>
          </w:p>
        </w:tc>
        <w:tc>
          <w:tcPr>
            <w:tcW w:w="1800" w:type="dxa"/>
            <w:tcBorders>
              <w:top w:val="nil"/>
              <w:left w:val="nil"/>
              <w:bottom w:val="nil"/>
              <w:right w:val="nil"/>
            </w:tcBorders>
            <w:tcMar>
              <w:top w:w="0" w:type="dxa"/>
              <w:left w:w="0" w:type="dxa"/>
              <w:bottom w:w="0" w:type="dxa"/>
              <w:right w:w="0" w:type="dxa"/>
            </w:tcMar>
            <w:vAlign w:val="bottom"/>
          </w:tcPr>
          <w:p w14:paraId="1ED0F2A4" w14:textId="3BE21987" w:rsidR="00587C76" w:rsidRPr="008C61C4" w:rsidRDefault="00587C76" w:rsidP="005A53DC">
            <w:pPr>
              <w:pStyle w:val="DMETW1139BIPOrganicReconciliation"/>
              <w:tabs>
                <w:tab w:val="decimal" w:pos="1359"/>
              </w:tabs>
              <w:jc w:val="right"/>
              <w:rPr>
                <w:sz w:val="21"/>
                <w:szCs w:val="21"/>
                <w:lang w:val="en-GB"/>
              </w:rPr>
            </w:pPr>
            <w:r w:rsidRPr="008C61C4">
              <w:rPr>
                <w:sz w:val="21"/>
                <w:szCs w:val="21"/>
                <w:lang w:val="en-GB"/>
              </w:rPr>
              <w:t xml:space="preserve"> 0</w:t>
            </w:r>
            <w:r w:rsidR="005A53DC">
              <w:rPr>
                <w:sz w:val="21"/>
                <w:szCs w:val="21"/>
              </w:rPr>
              <w:t>,</w:t>
            </w:r>
            <w:r w:rsidRPr="008C61C4">
              <w:rPr>
                <w:sz w:val="21"/>
                <w:szCs w:val="21"/>
                <w:lang w:val="en-GB"/>
              </w:rPr>
              <w:t>39</w:t>
            </w:r>
          </w:p>
        </w:tc>
        <w:tc>
          <w:tcPr>
            <w:tcW w:w="1533" w:type="dxa"/>
            <w:tcBorders>
              <w:top w:val="nil"/>
              <w:left w:val="nil"/>
              <w:bottom w:val="nil"/>
              <w:right w:val="nil"/>
            </w:tcBorders>
            <w:tcMar>
              <w:top w:w="0" w:type="dxa"/>
              <w:left w:w="0" w:type="dxa"/>
              <w:bottom w:w="0" w:type="dxa"/>
              <w:right w:w="0" w:type="dxa"/>
            </w:tcMar>
            <w:vAlign w:val="bottom"/>
          </w:tcPr>
          <w:p w14:paraId="50F931A7" w14:textId="758A1EA5" w:rsidR="00587C76" w:rsidRPr="008C61C4" w:rsidRDefault="00587C76" w:rsidP="005A53DC">
            <w:pPr>
              <w:pStyle w:val="DMETW1139BIPOrganicReconciliation"/>
              <w:tabs>
                <w:tab w:val="decimal" w:pos="1359"/>
              </w:tabs>
              <w:jc w:val="right"/>
              <w:rPr>
                <w:sz w:val="21"/>
                <w:szCs w:val="21"/>
                <w:lang w:val="en-GB"/>
              </w:rPr>
            </w:pPr>
            <w:r w:rsidRPr="008C61C4">
              <w:rPr>
                <w:sz w:val="21"/>
                <w:szCs w:val="21"/>
                <w:lang w:val="en-GB"/>
              </w:rPr>
              <w:t xml:space="preserve"> 0</w:t>
            </w:r>
            <w:r w:rsidR="005A53DC">
              <w:rPr>
                <w:sz w:val="21"/>
                <w:szCs w:val="21"/>
              </w:rPr>
              <w:t>,</w:t>
            </w:r>
            <w:r w:rsidRPr="008C61C4">
              <w:rPr>
                <w:sz w:val="21"/>
                <w:szCs w:val="21"/>
                <w:lang w:val="en-GB"/>
              </w:rPr>
              <w:t>28</w:t>
            </w:r>
          </w:p>
        </w:tc>
      </w:tr>
      <w:tr w:rsidR="00587C76" w:rsidRPr="008C61C4" w14:paraId="76861B30" w14:textId="77777777" w:rsidTr="00F73AC4">
        <w:trPr>
          <w:trHeight w:val="20"/>
        </w:trPr>
        <w:tc>
          <w:tcPr>
            <w:tcW w:w="3598" w:type="dxa"/>
            <w:tcBorders>
              <w:top w:val="nil"/>
              <w:left w:val="nil"/>
              <w:bottom w:val="nil"/>
              <w:right w:val="nil"/>
            </w:tcBorders>
            <w:tcMar>
              <w:top w:w="0" w:type="dxa"/>
              <w:left w:w="60" w:type="dxa"/>
              <w:bottom w:w="0" w:type="dxa"/>
              <w:right w:w="60" w:type="dxa"/>
            </w:tcMar>
            <w:vAlign w:val="bottom"/>
          </w:tcPr>
          <w:p w14:paraId="3458B5FE" w14:textId="574EB22B" w:rsidR="00587C76" w:rsidRPr="00F73AC4" w:rsidRDefault="00587C76" w:rsidP="007B6871">
            <w:pPr>
              <w:pStyle w:val="DMETW1139BIPOrganicReconciliation"/>
              <w:rPr>
                <w:b/>
                <w:sz w:val="21"/>
                <w:szCs w:val="21"/>
              </w:rPr>
            </w:pPr>
            <w:r w:rsidRPr="008C61C4">
              <w:rPr>
                <w:b/>
                <w:sz w:val="21"/>
                <w:szCs w:val="21"/>
                <w:lang w:val="en-GB"/>
              </w:rPr>
              <w:t xml:space="preserve">2022 </w:t>
            </w:r>
            <w:r w:rsidR="00F73AC4">
              <w:rPr>
                <w:b/>
                <w:sz w:val="21"/>
                <w:szCs w:val="21"/>
              </w:rPr>
              <w:t>δημοσιευμένα</w:t>
            </w:r>
            <w:r w:rsidR="004D75B0">
              <w:rPr>
                <w:b/>
                <w:sz w:val="21"/>
                <w:szCs w:val="21"/>
              </w:rPr>
              <w:t xml:space="preserve"> μεγέθη</w:t>
            </w:r>
          </w:p>
        </w:tc>
        <w:tc>
          <w:tcPr>
            <w:tcW w:w="1260" w:type="dxa"/>
            <w:tcBorders>
              <w:top w:val="single" w:sz="4" w:space="0" w:color="000000"/>
              <w:left w:val="nil"/>
              <w:bottom w:val="single" w:sz="4" w:space="0" w:color="000000"/>
              <w:right w:val="nil"/>
            </w:tcBorders>
            <w:tcMar>
              <w:top w:w="0" w:type="dxa"/>
              <w:left w:w="0" w:type="dxa"/>
              <w:bottom w:w="0" w:type="dxa"/>
              <w:right w:w="0" w:type="dxa"/>
            </w:tcMar>
            <w:vAlign w:val="bottom"/>
          </w:tcPr>
          <w:p w14:paraId="4A4AA27F" w14:textId="009E7236" w:rsidR="00587C76" w:rsidRPr="008C61C4" w:rsidRDefault="00587C76" w:rsidP="007B6871">
            <w:pPr>
              <w:pStyle w:val="DMETW1139BIPOrganicReconciliation"/>
              <w:tabs>
                <w:tab w:val="decimal" w:pos="1329"/>
              </w:tabs>
              <w:rPr>
                <w:b/>
                <w:sz w:val="21"/>
                <w:szCs w:val="21"/>
                <w:lang w:val="en-GB"/>
              </w:rPr>
            </w:pPr>
            <w:r w:rsidRPr="008C61C4">
              <w:rPr>
                <w:b/>
                <w:sz w:val="21"/>
                <w:szCs w:val="21"/>
                <w:lang w:val="en-GB"/>
              </w:rPr>
              <w:t xml:space="preserve"> 2</w:t>
            </w:r>
            <w:r w:rsidR="005A53DC">
              <w:rPr>
                <w:b/>
                <w:sz w:val="21"/>
                <w:szCs w:val="21"/>
              </w:rPr>
              <w:t>,</w:t>
            </w:r>
            <w:r w:rsidRPr="008C61C4">
              <w:rPr>
                <w:b/>
                <w:sz w:val="21"/>
                <w:szCs w:val="21"/>
                <w:lang w:val="en-GB"/>
              </w:rPr>
              <w:t>92</w:t>
            </w:r>
          </w:p>
        </w:tc>
        <w:tc>
          <w:tcPr>
            <w:tcW w:w="1620" w:type="dxa"/>
            <w:tcBorders>
              <w:top w:val="single" w:sz="4" w:space="0" w:color="000000"/>
              <w:left w:val="nil"/>
              <w:bottom w:val="single" w:sz="4" w:space="0" w:color="000000"/>
              <w:right w:val="nil"/>
            </w:tcBorders>
            <w:tcMar>
              <w:top w:w="0" w:type="dxa"/>
              <w:left w:w="0" w:type="dxa"/>
              <w:bottom w:w="0" w:type="dxa"/>
              <w:right w:w="0" w:type="dxa"/>
            </w:tcMar>
            <w:vAlign w:val="bottom"/>
          </w:tcPr>
          <w:p w14:paraId="2C48CF15" w14:textId="25DBFEE7" w:rsidR="00587C76" w:rsidRPr="008C61C4" w:rsidRDefault="00587C76" w:rsidP="005A53DC">
            <w:pPr>
              <w:pStyle w:val="DMETW1139BIPOrganicReconciliation"/>
              <w:tabs>
                <w:tab w:val="decimal" w:pos="1329"/>
              </w:tabs>
              <w:jc w:val="right"/>
              <w:rPr>
                <w:b/>
                <w:sz w:val="21"/>
                <w:szCs w:val="21"/>
                <w:lang w:val="en-GB"/>
              </w:rPr>
            </w:pPr>
            <w:r w:rsidRPr="008C61C4">
              <w:rPr>
                <w:b/>
                <w:sz w:val="21"/>
                <w:szCs w:val="21"/>
                <w:lang w:val="en-GB"/>
              </w:rPr>
              <w:t xml:space="preserve"> 4</w:t>
            </w:r>
            <w:r w:rsidR="005A53DC">
              <w:rPr>
                <w:b/>
                <w:sz w:val="21"/>
                <w:szCs w:val="21"/>
              </w:rPr>
              <w:t>,</w:t>
            </w:r>
            <w:r w:rsidRPr="008C61C4">
              <w:rPr>
                <w:b/>
                <w:sz w:val="21"/>
                <w:szCs w:val="21"/>
                <w:lang w:val="en-GB"/>
              </w:rPr>
              <w:t>45</w:t>
            </w:r>
          </w:p>
        </w:tc>
        <w:tc>
          <w:tcPr>
            <w:tcW w:w="1800" w:type="dxa"/>
            <w:tcBorders>
              <w:top w:val="single" w:sz="4" w:space="0" w:color="000000"/>
              <w:left w:val="nil"/>
              <w:bottom w:val="single" w:sz="4" w:space="0" w:color="000000"/>
              <w:right w:val="nil"/>
            </w:tcBorders>
            <w:tcMar>
              <w:top w:w="0" w:type="dxa"/>
              <w:left w:w="0" w:type="dxa"/>
              <w:bottom w:w="0" w:type="dxa"/>
              <w:right w:w="0" w:type="dxa"/>
            </w:tcMar>
            <w:vAlign w:val="bottom"/>
          </w:tcPr>
          <w:p w14:paraId="003D3685" w14:textId="253F9466" w:rsidR="00587C76" w:rsidRPr="008C61C4" w:rsidRDefault="00587C76" w:rsidP="005A53DC">
            <w:pPr>
              <w:pStyle w:val="DMETW1139BIPOrganicReconciliation"/>
              <w:tabs>
                <w:tab w:val="decimal" w:pos="1359"/>
              </w:tabs>
              <w:jc w:val="right"/>
              <w:rPr>
                <w:b/>
                <w:sz w:val="21"/>
                <w:szCs w:val="21"/>
                <w:lang w:val="en-GB"/>
              </w:rPr>
            </w:pPr>
            <w:r w:rsidRPr="008C61C4">
              <w:rPr>
                <w:b/>
                <w:sz w:val="21"/>
                <w:szCs w:val="21"/>
                <w:lang w:val="en-GB"/>
              </w:rPr>
              <w:t xml:space="preserve"> 3</w:t>
            </w:r>
            <w:r w:rsidR="005A53DC">
              <w:rPr>
                <w:b/>
                <w:sz w:val="21"/>
                <w:szCs w:val="21"/>
              </w:rPr>
              <w:t>,</w:t>
            </w:r>
            <w:r w:rsidRPr="008C61C4">
              <w:rPr>
                <w:b/>
                <w:sz w:val="21"/>
                <w:szCs w:val="21"/>
                <w:lang w:val="en-GB"/>
              </w:rPr>
              <w:t>31</w:t>
            </w:r>
          </w:p>
        </w:tc>
        <w:tc>
          <w:tcPr>
            <w:tcW w:w="1533" w:type="dxa"/>
            <w:tcBorders>
              <w:top w:val="single" w:sz="4" w:space="0" w:color="000000"/>
              <w:left w:val="nil"/>
              <w:bottom w:val="single" w:sz="4" w:space="0" w:color="000000"/>
              <w:right w:val="nil"/>
            </w:tcBorders>
            <w:tcMar>
              <w:top w:w="0" w:type="dxa"/>
              <w:left w:w="0" w:type="dxa"/>
              <w:bottom w:w="0" w:type="dxa"/>
              <w:right w:w="0" w:type="dxa"/>
            </w:tcMar>
            <w:vAlign w:val="bottom"/>
          </w:tcPr>
          <w:p w14:paraId="47613048" w14:textId="35819730" w:rsidR="00587C76" w:rsidRPr="008C61C4" w:rsidRDefault="00587C76" w:rsidP="005A53DC">
            <w:pPr>
              <w:pStyle w:val="DMETW1139BIPOrganicReconciliation"/>
              <w:tabs>
                <w:tab w:val="decimal" w:pos="1359"/>
              </w:tabs>
              <w:jc w:val="right"/>
              <w:rPr>
                <w:b/>
                <w:sz w:val="21"/>
                <w:szCs w:val="21"/>
                <w:lang w:val="en-GB"/>
              </w:rPr>
            </w:pPr>
            <w:r w:rsidRPr="008C61C4">
              <w:rPr>
                <w:b/>
                <w:sz w:val="21"/>
                <w:szCs w:val="21"/>
                <w:lang w:val="en-GB"/>
              </w:rPr>
              <w:t xml:space="preserve"> 2</w:t>
            </w:r>
            <w:r w:rsidR="005A53DC">
              <w:rPr>
                <w:b/>
                <w:sz w:val="21"/>
                <w:szCs w:val="21"/>
              </w:rPr>
              <w:t>,</w:t>
            </w:r>
            <w:r w:rsidRPr="008C61C4">
              <w:rPr>
                <w:b/>
                <w:sz w:val="21"/>
                <w:szCs w:val="21"/>
                <w:lang w:val="en-GB"/>
              </w:rPr>
              <w:t>30</w:t>
            </w:r>
          </w:p>
        </w:tc>
      </w:tr>
      <w:tr w:rsidR="00587C76" w:rsidRPr="008C61C4" w14:paraId="486117C0" w14:textId="77777777" w:rsidTr="00F73AC4">
        <w:trPr>
          <w:trHeight w:hRule="exact" w:val="144"/>
        </w:trPr>
        <w:tc>
          <w:tcPr>
            <w:tcW w:w="3598" w:type="dxa"/>
            <w:tcBorders>
              <w:top w:val="nil"/>
              <w:left w:val="nil"/>
              <w:bottom w:val="nil"/>
              <w:right w:val="nil"/>
            </w:tcBorders>
            <w:tcMar>
              <w:top w:w="0" w:type="dxa"/>
              <w:left w:w="60" w:type="dxa"/>
              <w:bottom w:w="0" w:type="dxa"/>
              <w:right w:w="60" w:type="dxa"/>
            </w:tcMar>
            <w:vAlign w:val="bottom"/>
          </w:tcPr>
          <w:p w14:paraId="11CDF148" w14:textId="77777777" w:rsidR="00587C76" w:rsidRPr="008C61C4" w:rsidRDefault="00587C76" w:rsidP="007B6871">
            <w:pPr>
              <w:pStyle w:val="DMETW1139BIPOrganicReconciliation"/>
              <w:rPr>
                <w:sz w:val="21"/>
                <w:szCs w:val="21"/>
                <w:lang w:val="en-GB"/>
              </w:rPr>
            </w:pPr>
          </w:p>
        </w:tc>
        <w:tc>
          <w:tcPr>
            <w:tcW w:w="1260" w:type="dxa"/>
            <w:tcBorders>
              <w:top w:val="nil"/>
              <w:left w:val="nil"/>
              <w:bottom w:val="nil"/>
              <w:right w:val="nil"/>
            </w:tcBorders>
            <w:tcMar>
              <w:top w:w="0" w:type="dxa"/>
              <w:left w:w="60" w:type="dxa"/>
              <w:bottom w:w="0" w:type="dxa"/>
              <w:right w:w="60" w:type="dxa"/>
            </w:tcMar>
            <w:vAlign w:val="bottom"/>
          </w:tcPr>
          <w:p w14:paraId="24AE1FEA" w14:textId="77777777" w:rsidR="00587C76" w:rsidRPr="008C61C4" w:rsidRDefault="00587C76" w:rsidP="007B6871">
            <w:pPr>
              <w:pStyle w:val="DMETW1139BIPOrganicReconciliation"/>
              <w:jc w:val="right"/>
              <w:rPr>
                <w:b/>
                <w:sz w:val="21"/>
                <w:szCs w:val="21"/>
                <w:lang w:val="en-GB"/>
              </w:rPr>
            </w:pPr>
          </w:p>
        </w:tc>
        <w:tc>
          <w:tcPr>
            <w:tcW w:w="1620" w:type="dxa"/>
            <w:tcBorders>
              <w:top w:val="nil"/>
              <w:left w:val="nil"/>
              <w:bottom w:val="nil"/>
              <w:right w:val="nil"/>
            </w:tcBorders>
            <w:tcMar>
              <w:top w:w="0" w:type="dxa"/>
              <w:left w:w="60" w:type="dxa"/>
              <w:bottom w:w="0" w:type="dxa"/>
              <w:right w:w="60" w:type="dxa"/>
            </w:tcMar>
            <w:vAlign w:val="bottom"/>
          </w:tcPr>
          <w:p w14:paraId="470B15CB" w14:textId="77777777" w:rsidR="00587C76" w:rsidRPr="008C61C4" w:rsidRDefault="00587C76" w:rsidP="005A53DC">
            <w:pPr>
              <w:pStyle w:val="DMETW1139BIPOrganicReconciliation"/>
              <w:jc w:val="right"/>
              <w:rPr>
                <w:sz w:val="21"/>
                <w:szCs w:val="21"/>
                <w:lang w:val="en-GB"/>
              </w:rPr>
            </w:pPr>
          </w:p>
        </w:tc>
        <w:tc>
          <w:tcPr>
            <w:tcW w:w="1800" w:type="dxa"/>
            <w:tcBorders>
              <w:top w:val="nil"/>
              <w:left w:val="nil"/>
              <w:bottom w:val="nil"/>
              <w:right w:val="nil"/>
            </w:tcBorders>
            <w:tcMar>
              <w:top w:w="0" w:type="dxa"/>
              <w:left w:w="60" w:type="dxa"/>
              <w:bottom w:w="0" w:type="dxa"/>
              <w:right w:w="60" w:type="dxa"/>
            </w:tcMar>
            <w:vAlign w:val="bottom"/>
          </w:tcPr>
          <w:p w14:paraId="0F4FF905" w14:textId="77777777" w:rsidR="00587C76" w:rsidRPr="008C61C4" w:rsidRDefault="00587C76" w:rsidP="005A53DC">
            <w:pPr>
              <w:pStyle w:val="DMETW1139BIPOrganicReconciliation"/>
              <w:jc w:val="right"/>
              <w:rPr>
                <w:sz w:val="21"/>
                <w:szCs w:val="21"/>
                <w:lang w:val="en-GB"/>
              </w:rPr>
            </w:pPr>
          </w:p>
        </w:tc>
        <w:tc>
          <w:tcPr>
            <w:tcW w:w="1533" w:type="dxa"/>
            <w:tcBorders>
              <w:top w:val="nil"/>
              <w:left w:val="nil"/>
              <w:bottom w:val="nil"/>
              <w:right w:val="nil"/>
            </w:tcBorders>
            <w:tcMar>
              <w:top w:w="0" w:type="dxa"/>
              <w:left w:w="60" w:type="dxa"/>
              <w:bottom w:w="0" w:type="dxa"/>
              <w:right w:w="60" w:type="dxa"/>
            </w:tcMar>
            <w:vAlign w:val="bottom"/>
          </w:tcPr>
          <w:p w14:paraId="0A10FA5A" w14:textId="77777777" w:rsidR="00587C76" w:rsidRPr="008C61C4" w:rsidRDefault="00587C76" w:rsidP="005A53DC">
            <w:pPr>
              <w:pStyle w:val="DMETW1139BIPOrganicReconciliation"/>
              <w:jc w:val="right"/>
              <w:rPr>
                <w:sz w:val="21"/>
                <w:szCs w:val="21"/>
                <w:lang w:val="en-GB"/>
              </w:rPr>
            </w:pPr>
          </w:p>
        </w:tc>
      </w:tr>
      <w:tr w:rsidR="00587C76" w:rsidRPr="008C61C4" w14:paraId="37442B07" w14:textId="77777777" w:rsidTr="00F73AC4">
        <w:trPr>
          <w:trHeight w:val="20"/>
        </w:trPr>
        <w:tc>
          <w:tcPr>
            <w:tcW w:w="3598" w:type="dxa"/>
            <w:tcBorders>
              <w:top w:val="nil"/>
              <w:left w:val="nil"/>
              <w:bottom w:val="nil"/>
              <w:right w:val="nil"/>
            </w:tcBorders>
            <w:tcMar>
              <w:top w:w="0" w:type="dxa"/>
              <w:left w:w="60" w:type="dxa"/>
              <w:bottom w:w="0" w:type="dxa"/>
              <w:right w:w="60" w:type="dxa"/>
            </w:tcMar>
            <w:vAlign w:val="bottom"/>
          </w:tcPr>
          <w:p w14:paraId="4FD8FE69" w14:textId="22913919" w:rsidR="00587C76" w:rsidRPr="008C61C4" w:rsidRDefault="00F73AC4" w:rsidP="007B6871">
            <w:pPr>
              <w:pStyle w:val="DMETW1139BIPOrganicReconciliation"/>
              <w:rPr>
                <w:b/>
                <w:sz w:val="21"/>
                <w:szCs w:val="21"/>
                <w:lang w:val="en-GB"/>
              </w:rPr>
            </w:pPr>
            <w:r>
              <w:rPr>
                <w:b/>
                <w:sz w:val="21"/>
                <w:szCs w:val="21"/>
              </w:rPr>
              <w:t>Οργανική αύξηση</w:t>
            </w:r>
            <w:r w:rsidR="00587C76" w:rsidRPr="008C61C4">
              <w:rPr>
                <w:b/>
                <w:sz w:val="21"/>
                <w:szCs w:val="21"/>
                <w:lang w:val="en-GB"/>
              </w:rPr>
              <w:t xml:space="preserve"> (%)</w:t>
            </w:r>
          </w:p>
        </w:tc>
        <w:tc>
          <w:tcPr>
            <w:tcW w:w="1260" w:type="dxa"/>
            <w:tcBorders>
              <w:top w:val="single" w:sz="4" w:space="0" w:color="000000"/>
              <w:left w:val="nil"/>
              <w:bottom w:val="single" w:sz="4" w:space="0" w:color="000000"/>
              <w:right w:val="nil"/>
            </w:tcBorders>
            <w:tcMar>
              <w:top w:w="0" w:type="dxa"/>
              <w:left w:w="60" w:type="dxa"/>
              <w:bottom w:w="0" w:type="dxa"/>
              <w:right w:w="60" w:type="dxa"/>
            </w:tcMar>
            <w:vAlign w:val="bottom"/>
          </w:tcPr>
          <w:p w14:paraId="52A4DDEE" w14:textId="51B034E0" w:rsidR="00587C76" w:rsidRPr="008C61C4" w:rsidRDefault="00587C76" w:rsidP="007B6871">
            <w:pPr>
              <w:pStyle w:val="DMETW1139BIPOrganicReconciliation"/>
              <w:jc w:val="right"/>
              <w:rPr>
                <w:b/>
                <w:sz w:val="21"/>
                <w:szCs w:val="21"/>
                <w:lang w:val="en-GB"/>
              </w:rPr>
            </w:pPr>
            <w:r w:rsidRPr="008C61C4">
              <w:rPr>
                <w:b/>
                <w:sz w:val="21"/>
                <w:szCs w:val="21"/>
                <w:lang w:val="en-GB"/>
              </w:rPr>
              <w:t>11</w:t>
            </w:r>
            <w:r w:rsidR="005A53DC">
              <w:rPr>
                <w:b/>
                <w:sz w:val="21"/>
                <w:szCs w:val="21"/>
              </w:rPr>
              <w:t>,</w:t>
            </w:r>
            <w:r w:rsidRPr="008C61C4">
              <w:rPr>
                <w:b/>
                <w:sz w:val="21"/>
                <w:szCs w:val="21"/>
                <w:lang w:val="en-GB"/>
              </w:rPr>
              <w:t>6%</w:t>
            </w:r>
          </w:p>
        </w:tc>
        <w:tc>
          <w:tcPr>
            <w:tcW w:w="1620" w:type="dxa"/>
            <w:tcBorders>
              <w:top w:val="single" w:sz="4" w:space="0" w:color="000000"/>
              <w:left w:val="nil"/>
              <w:bottom w:val="single" w:sz="4" w:space="0" w:color="000000"/>
              <w:right w:val="nil"/>
            </w:tcBorders>
            <w:tcMar>
              <w:top w:w="0" w:type="dxa"/>
              <w:left w:w="60" w:type="dxa"/>
              <w:bottom w:w="0" w:type="dxa"/>
              <w:right w:w="60" w:type="dxa"/>
            </w:tcMar>
            <w:vAlign w:val="bottom"/>
          </w:tcPr>
          <w:p w14:paraId="19E2E0DC" w14:textId="664B6EBC" w:rsidR="00587C76" w:rsidRPr="008C61C4" w:rsidRDefault="00587C76" w:rsidP="005A53DC">
            <w:pPr>
              <w:pStyle w:val="DMETW1139BIPOrganicReconciliation"/>
              <w:jc w:val="right"/>
              <w:rPr>
                <w:b/>
                <w:bCs/>
                <w:sz w:val="21"/>
                <w:szCs w:val="21"/>
                <w:lang w:val="en-GB"/>
              </w:rPr>
            </w:pPr>
            <w:r w:rsidRPr="008C61C4">
              <w:rPr>
                <w:b/>
                <w:bCs/>
                <w:sz w:val="21"/>
                <w:szCs w:val="21"/>
                <w:lang w:val="en-GB"/>
              </w:rPr>
              <w:t>7</w:t>
            </w:r>
            <w:r w:rsidR="005A53DC">
              <w:rPr>
                <w:b/>
                <w:bCs/>
                <w:sz w:val="21"/>
                <w:szCs w:val="21"/>
              </w:rPr>
              <w:t>,</w:t>
            </w:r>
            <w:r w:rsidRPr="008C61C4">
              <w:rPr>
                <w:b/>
                <w:bCs/>
                <w:sz w:val="21"/>
                <w:szCs w:val="21"/>
                <w:lang w:val="en-GB"/>
              </w:rPr>
              <w:t>9%</w:t>
            </w:r>
          </w:p>
        </w:tc>
        <w:tc>
          <w:tcPr>
            <w:tcW w:w="1800" w:type="dxa"/>
            <w:tcBorders>
              <w:top w:val="single" w:sz="4" w:space="0" w:color="000000"/>
              <w:left w:val="nil"/>
              <w:bottom w:val="single" w:sz="4" w:space="0" w:color="000000"/>
              <w:right w:val="nil"/>
            </w:tcBorders>
            <w:tcMar>
              <w:top w:w="0" w:type="dxa"/>
              <w:left w:w="60" w:type="dxa"/>
              <w:bottom w:w="0" w:type="dxa"/>
              <w:right w:w="60" w:type="dxa"/>
            </w:tcMar>
            <w:vAlign w:val="bottom"/>
          </w:tcPr>
          <w:p w14:paraId="2FD912E4" w14:textId="045AB6FC" w:rsidR="00587C76" w:rsidRPr="008C61C4" w:rsidRDefault="00587C76" w:rsidP="005A53DC">
            <w:pPr>
              <w:pStyle w:val="DMETW1139BIPOrganicReconciliation"/>
              <w:jc w:val="right"/>
              <w:rPr>
                <w:b/>
                <w:bCs/>
                <w:sz w:val="21"/>
                <w:szCs w:val="21"/>
                <w:lang w:val="en-GB"/>
              </w:rPr>
            </w:pPr>
            <w:r w:rsidRPr="008C61C4">
              <w:rPr>
                <w:b/>
                <w:bCs/>
                <w:sz w:val="21"/>
                <w:szCs w:val="21"/>
                <w:lang w:val="en-GB"/>
              </w:rPr>
              <w:t>13</w:t>
            </w:r>
            <w:r w:rsidR="005A53DC">
              <w:rPr>
                <w:b/>
                <w:bCs/>
                <w:sz w:val="21"/>
                <w:szCs w:val="21"/>
              </w:rPr>
              <w:t>,</w:t>
            </w:r>
            <w:r w:rsidRPr="008C61C4">
              <w:rPr>
                <w:b/>
                <w:bCs/>
                <w:sz w:val="21"/>
                <w:szCs w:val="21"/>
                <w:lang w:val="en-GB"/>
              </w:rPr>
              <w:t>3%</w:t>
            </w:r>
          </w:p>
        </w:tc>
        <w:tc>
          <w:tcPr>
            <w:tcW w:w="1533" w:type="dxa"/>
            <w:tcBorders>
              <w:top w:val="single" w:sz="4" w:space="0" w:color="000000"/>
              <w:left w:val="nil"/>
              <w:bottom w:val="single" w:sz="4" w:space="0" w:color="000000"/>
              <w:right w:val="nil"/>
            </w:tcBorders>
            <w:tcMar>
              <w:top w:w="0" w:type="dxa"/>
              <w:left w:w="60" w:type="dxa"/>
              <w:bottom w:w="0" w:type="dxa"/>
              <w:right w:w="60" w:type="dxa"/>
            </w:tcMar>
            <w:vAlign w:val="bottom"/>
          </w:tcPr>
          <w:p w14:paraId="35B68CCB" w14:textId="3F39D1A2" w:rsidR="00587C76" w:rsidRPr="008C61C4" w:rsidRDefault="00587C76" w:rsidP="005A53DC">
            <w:pPr>
              <w:pStyle w:val="DMETW1139BIPOrganicReconciliation"/>
              <w:jc w:val="right"/>
              <w:rPr>
                <w:b/>
                <w:bCs/>
                <w:sz w:val="21"/>
                <w:szCs w:val="21"/>
                <w:lang w:val="en-GB"/>
              </w:rPr>
            </w:pPr>
            <w:r w:rsidRPr="008C61C4">
              <w:rPr>
                <w:b/>
                <w:bCs/>
                <w:sz w:val="21"/>
                <w:szCs w:val="21"/>
                <w:lang w:val="en-GB"/>
              </w:rPr>
              <w:t>13</w:t>
            </w:r>
            <w:r w:rsidR="005A53DC">
              <w:rPr>
                <w:b/>
                <w:bCs/>
                <w:sz w:val="21"/>
                <w:szCs w:val="21"/>
              </w:rPr>
              <w:t>,</w:t>
            </w:r>
            <w:r w:rsidRPr="008C61C4">
              <w:rPr>
                <w:b/>
                <w:bCs/>
                <w:sz w:val="21"/>
                <w:szCs w:val="21"/>
                <w:lang w:val="en-GB"/>
              </w:rPr>
              <w:t>1%</w:t>
            </w:r>
          </w:p>
        </w:tc>
      </w:tr>
    </w:tbl>
    <w:p w14:paraId="4D3378DE" w14:textId="7DE87CAA" w:rsidR="00587C76" w:rsidRPr="00F73AC4" w:rsidRDefault="00587C76" w:rsidP="00587C76">
      <w:pPr>
        <w:spacing w:before="120" w:after="120"/>
        <w:jc w:val="both"/>
        <w:rPr>
          <w:rFonts w:ascii="Effra Corp" w:hAnsi="Effra Corp" w:cs="Arial"/>
          <w:i/>
          <w:iCs/>
          <w:color w:val="000000"/>
          <w:sz w:val="14"/>
          <w:szCs w:val="14"/>
          <w:lang w:val="el-GR"/>
        </w:rPr>
      </w:pPr>
      <w:r w:rsidRPr="00F73AC4">
        <w:rPr>
          <w:rFonts w:ascii="Effra Corp" w:hAnsi="Effra Corp" w:cs="Arial"/>
          <w:i/>
          <w:iCs/>
          <w:color w:val="000000"/>
          <w:sz w:val="14"/>
          <w:szCs w:val="14"/>
          <w:vertAlign w:val="superscript"/>
          <w:lang w:val="el-GR"/>
        </w:rPr>
        <w:t xml:space="preserve">1 </w:t>
      </w:r>
      <w:r w:rsidR="00F73AC4">
        <w:rPr>
          <w:rFonts w:ascii="Effra Corp" w:hAnsi="Effra Corp" w:cs="Arial"/>
          <w:i/>
          <w:iCs/>
          <w:color w:val="000000"/>
          <w:sz w:val="14"/>
          <w:szCs w:val="14"/>
          <w:lang w:val="el-GR"/>
        </w:rPr>
        <w:t>Τυχούσες</w:t>
      </w:r>
      <w:r w:rsidR="00F73AC4" w:rsidRPr="00F73AC4">
        <w:rPr>
          <w:rFonts w:ascii="Effra Corp" w:hAnsi="Effra Corp" w:cs="Arial"/>
          <w:i/>
          <w:iCs/>
          <w:color w:val="000000"/>
          <w:sz w:val="14"/>
          <w:szCs w:val="14"/>
          <w:lang w:val="el-GR"/>
        </w:rPr>
        <w:t xml:space="preserve"> </w:t>
      </w:r>
      <w:r w:rsidR="00F73AC4">
        <w:rPr>
          <w:rFonts w:ascii="Effra Corp" w:hAnsi="Effra Corp" w:cs="Arial"/>
          <w:i/>
          <w:iCs/>
          <w:color w:val="000000"/>
          <w:sz w:val="14"/>
          <w:szCs w:val="14"/>
          <w:lang w:val="el-GR"/>
        </w:rPr>
        <w:t>διαφορές</w:t>
      </w:r>
      <w:r w:rsidR="00F73AC4" w:rsidRPr="00F73AC4">
        <w:rPr>
          <w:rFonts w:ascii="Effra Corp" w:hAnsi="Effra Corp" w:cs="Arial"/>
          <w:i/>
          <w:iCs/>
          <w:color w:val="000000"/>
          <w:sz w:val="14"/>
          <w:szCs w:val="14"/>
          <w:lang w:val="el-GR"/>
        </w:rPr>
        <w:t xml:space="preserve"> </w:t>
      </w:r>
      <w:r w:rsidR="00F73AC4">
        <w:rPr>
          <w:rFonts w:ascii="Effra Corp" w:hAnsi="Effra Corp" w:cs="Arial"/>
          <w:i/>
          <w:iCs/>
          <w:color w:val="000000"/>
          <w:sz w:val="14"/>
          <w:szCs w:val="14"/>
          <w:lang w:val="el-GR"/>
        </w:rPr>
        <w:t>στους</w:t>
      </w:r>
      <w:r w:rsidR="00F73AC4" w:rsidRPr="00F73AC4">
        <w:rPr>
          <w:rFonts w:ascii="Effra Corp" w:hAnsi="Effra Corp" w:cs="Arial"/>
          <w:i/>
          <w:iCs/>
          <w:color w:val="000000"/>
          <w:sz w:val="14"/>
          <w:szCs w:val="14"/>
          <w:lang w:val="el-GR"/>
        </w:rPr>
        <w:t xml:space="preserve"> </w:t>
      </w:r>
      <w:r w:rsidR="00F73AC4">
        <w:rPr>
          <w:rFonts w:ascii="Effra Corp" w:hAnsi="Effra Corp" w:cs="Arial"/>
          <w:i/>
          <w:iCs/>
          <w:color w:val="000000"/>
          <w:sz w:val="14"/>
          <w:szCs w:val="14"/>
          <w:lang w:val="el-GR"/>
        </w:rPr>
        <w:t xml:space="preserve">υπολογισμούς οφείλονται σε </w:t>
      </w:r>
      <w:proofErr w:type="spellStart"/>
      <w:r w:rsidR="00F73AC4">
        <w:rPr>
          <w:rFonts w:ascii="Effra Corp" w:hAnsi="Effra Corp" w:cs="Arial"/>
          <w:i/>
          <w:iCs/>
          <w:color w:val="000000"/>
          <w:sz w:val="14"/>
          <w:szCs w:val="14"/>
          <w:lang w:val="el-GR"/>
        </w:rPr>
        <w:t>στρογγυλοποιήσες</w:t>
      </w:r>
      <w:proofErr w:type="spellEnd"/>
      <w:r w:rsidRPr="00F73AC4">
        <w:rPr>
          <w:rFonts w:ascii="Effra Corp" w:hAnsi="Effra Corp" w:cs="Arial"/>
          <w:i/>
          <w:iCs/>
          <w:color w:val="000000"/>
          <w:sz w:val="14"/>
          <w:szCs w:val="14"/>
          <w:lang w:val="el-GR"/>
        </w:rPr>
        <w:t>.</w:t>
      </w:r>
    </w:p>
    <w:p w14:paraId="0B6BF40B" w14:textId="77777777" w:rsidR="00587C76" w:rsidRPr="00F73AC4" w:rsidRDefault="00587C76" w:rsidP="009569DD">
      <w:pPr>
        <w:pStyle w:val="BodyTextIndent"/>
        <w:spacing w:after="60"/>
        <w:rPr>
          <w:rFonts w:ascii="Effra Corp" w:hAnsi="Effra Corp"/>
          <w:color w:val="000000"/>
          <w:sz w:val="20"/>
          <w:szCs w:val="20"/>
          <w:u w:val="none"/>
          <w:lang w:val="el-GR"/>
        </w:rPr>
      </w:pPr>
    </w:p>
    <w:sectPr w:rsidR="00587C76" w:rsidRPr="00F73AC4" w:rsidSect="00D55661">
      <w:headerReference w:type="default" r:id="rId14"/>
      <w:headerReference w:type="first" r:id="rId15"/>
      <w:footerReference w:type="first" r:id="rId16"/>
      <w:pgSz w:w="11907" w:h="16840" w:code="9"/>
      <w:pgMar w:top="1276" w:right="927" w:bottom="993" w:left="1247" w:header="720" w:footer="720" w:gutter="0"/>
      <w:cols w:space="720"/>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C54022" w14:textId="77777777" w:rsidR="00810F2F" w:rsidRDefault="00810F2F" w:rsidP="00BC047C">
      <w:r>
        <w:separator/>
      </w:r>
    </w:p>
  </w:endnote>
  <w:endnote w:type="continuationSeparator" w:id="0">
    <w:p w14:paraId="785C58D4" w14:textId="77777777" w:rsidR="00810F2F" w:rsidRDefault="00810F2F" w:rsidP="00BC047C">
      <w:r>
        <w:continuationSeparator/>
      </w:r>
    </w:p>
  </w:endnote>
  <w:endnote w:type="continuationNotice" w:id="1">
    <w:p w14:paraId="760CD3B5" w14:textId="77777777" w:rsidR="00810F2F" w:rsidRDefault="00810F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Dutch801 Rm BT">
    <w:altName w:val="Times New Roman"/>
    <w:panose1 w:val="00000000000000000000"/>
    <w:charset w:val="A1"/>
    <w:family w:val="auto"/>
    <w:notTrueType/>
    <w:pitch w:val="default"/>
    <w:sig w:usb0="00000081" w:usb1="00000000" w:usb2="00000000" w:usb3="00000000" w:csb0="00000008"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Effra Corp">
    <w:altName w:val="Calibri"/>
    <w:charset w:val="A1"/>
    <w:family w:val="swiss"/>
    <w:pitch w:val="variable"/>
    <w:sig w:usb0="A00002AF" w:usb1="5000205B" w:usb2="00000000" w:usb3="00000000" w:csb0="0000009F" w:csb1="00000000"/>
  </w:font>
  <w:font w:name="CIDFont+F2">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FE7D3" w14:textId="77777777" w:rsidR="00500565" w:rsidRDefault="00500565">
    <w:pPr>
      <w:pStyle w:val="Footer"/>
    </w:pPr>
    <w:r w:rsidRPr="001660B7">
      <w:rPr>
        <w:noProof/>
        <w:lang w:val="el-GR" w:bidi="el-GR"/>
      </w:rPr>
      <w:drawing>
        <wp:inline distT="0" distB="0" distL="0" distR="0" wp14:anchorId="67B4288C" wp14:editId="058478E0">
          <wp:extent cx="6066155" cy="354797"/>
          <wp:effectExtent l="19050" t="0" r="0" b="0"/>
          <wp:docPr id="1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srcRect/>
                  <a:stretch>
                    <a:fillRect/>
                  </a:stretch>
                </pic:blipFill>
                <pic:spPr bwMode="auto">
                  <a:xfrm>
                    <a:off x="0" y="0"/>
                    <a:ext cx="6066155" cy="354797"/>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6E1A50" w14:textId="77777777" w:rsidR="00810F2F" w:rsidRDefault="00810F2F" w:rsidP="00BC047C"/>
  </w:footnote>
  <w:footnote w:type="continuationSeparator" w:id="0">
    <w:p w14:paraId="304D723B" w14:textId="77777777" w:rsidR="00810F2F" w:rsidRDefault="00810F2F" w:rsidP="00BC047C">
      <w:r>
        <w:continuationSeparator/>
      </w:r>
    </w:p>
  </w:footnote>
  <w:footnote w:type="continuationNotice" w:id="1">
    <w:p w14:paraId="52E39657" w14:textId="77777777" w:rsidR="00810F2F" w:rsidRDefault="00810F2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9ED22" w14:textId="52762A3F" w:rsidR="00500565" w:rsidRPr="004F714F" w:rsidRDefault="00500565" w:rsidP="00F84CB2">
    <w:pPr>
      <w:tabs>
        <w:tab w:val="right" w:pos="9360"/>
      </w:tabs>
      <w:ind w:right="53"/>
      <w:jc w:val="right"/>
      <w:rPr>
        <w:rFonts w:ascii="Effra Corp" w:hAnsi="Effra Corp" w:cs="Arial"/>
        <w:b/>
        <w:bCs/>
        <w:sz w:val="16"/>
        <w:szCs w:val="16"/>
        <w:lang w:val="el-GR"/>
      </w:rPr>
    </w:pPr>
    <w:r>
      <w:rPr>
        <w:rFonts w:ascii="Effra Corp" w:eastAsia="Effra Corp" w:hAnsi="Effra Corp" w:cs="Arial"/>
        <w:b/>
        <w:noProof/>
        <w:sz w:val="16"/>
        <w:szCs w:val="16"/>
        <w:lang w:val="el-GR" w:bidi="el-GR"/>
      </w:rPr>
      <w:drawing>
        <wp:anchor distT="0" distB="0" distL="114300" distR="114300" simplePos="0" relativeHeight="251658241" behindDoc="1" locked="0" layoutInCell="1" allowOverlap="1" wp14:anchorId="296D7DFF" wp14:editId="5EE78247">
          <wp:simplePos x="0" y="0"/>
          <wp:positionH relativeFrom="column">
            <wp:posOffset>-149294</wp:posOffset>
          </wp:positionH>
          <wp:positionV relativeFrom="paragraph">
            <wp:posOffset>-257885</wp:posOffset>
          </wp:positionV>
          <wp:extent cx="2343150" cy="504190"/>
          <wp:effectExtent l="0" t="0" r="0" b="0"/>
          <wp:wrapTight wrapText="bothSides">
            <wp:wrapPolygon edited="0">
              <wp:start x="0" y="0"/>
              <wp:lineTo x="0" y="20403"/>
              <wp:lineTo x="21424" y="20403"/>
              <wp:lineTo x="21424" y="0"/>
              <wp:lineTo x="0" y="0"/>
            </wp:wrapPolygon>
          </wp:wrapTight>
          <wp:docPr id="1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
                  <a:srcRect/>
                  <a:stretch>
                    <a:fillRect/>
                  </a:stretch>
                </pic:blipFill>
                <pic:spPr bwMode="auto">
                  <a:xfrm>
                    <a:off x="0" y="0"/>
                    <a:ext cx="2343150" cy="504190"/>
                  </a:xfrm>
                  <a:prstGeom prst="rect">
                    <a:avLst/>
                  </a:prstGeom>
                  <a:noFill/>
                </pic:spPr>
              </pic:pic>
            </a:graphicData>
          </a:graphic>
        </wp:anchor>
      </w:drawing>
    </w:r>
    <w:r w:rsidRPr="00500565">
      <w:rPr>
        <w:rFonts w:ascii="Effra Corp" w:eastAsia="Effra Corp" w:hAnsi="Effra Corp" w:cs="Arial"/>
        <w:b/>
        <w:sz w:val="16"/>
        <w:szCs w:val="16"/>
        <w:lang w:val="el-GR" w:bidi="el-GR"/>
      </w:rPr>
      <w:t>Περιληπτική ενημέρωση για το τρίμηνο που έληξε την 1η Απριλίου 2022</w:t>
    </w:r>
  </w:p>
  <w:p w14:paraId="05EAFD8F" w14:textId="6AD478DD" w:rsidR="00500565" w:rsidRPr="00916892" w:rsidRDefault="00500565" w:rsidP="00F84CB2">
    <w:pPr>
      <w:tabs>
        <w:tab w:val="right" w:pos="9360"/>
      </w:tabs>
      <w:spacing w:line="220" w:lineRule="atLeast"/>
      <w:ind w:right="53"/>
      <w:jc w:val="right"/>
      <w:rPr>
        <w:rFonts w:ascii="Effra Corp" w:hAnsi="Effra Corp" w:cs="Arial"/>
        <w:sz w:val="16"/>
        <w:szCs w:val="16"/>
      </w:rPr>
    </w:pPr>
    <w:r w:rsidRPr="00CE3B47">
      <w:rPr>
        <w:rFonts w:ascii="Effra Corp" w:eastAsia="Effra Corp" w:hAnsi="Effra Corp" w:cs="Arial"/>
        <w:sz w:val="16"/>
        <w:szCs w:val="16"/>
        <w:lang w:val="el-GR" w:bidi="el-GR"/>
      </w:rPr>
      <w:tab/>
      <w:t>12 Μαΐου 2022</w:t>
    </w:r>
  </w:p>
  <w:p w14:paraId="230E0003" w14:textId="38AE64B0" w:rsidR="00500565" w:rsidRPr="0044307A" w:rsidRDefault="00500565" w:rsidP="00F84CB2">
    <w:pPr>
      <w:tabs>
        <w:tab w:val="right" w:pos="9360"/>
      </w:tabs>
      <w:spacing w:line="220" w:lineRule="atLeast"/>
      <w:ind w:right="53"/>
      <w:jc w:val="right"/>
      <w:rPr>
        <w:rFonts w:cs="Arial"/>
        <w:szCs w:val="16"/>
        <w:lang w:val="en-US"/>
      </w:rPr>
    </w:pPr>
    <w:r w:rsidRPr="00916892">
      <w:rPr>
        <w:rFonts w:ascii="Effra Corp" w:eastAsia="Effra Corp" w:hAnsi="Effra Corp" w:cs="Arial"/>
        <w:sz w:val="16"/>
        <w:szCs w:val="16"/>
        <w:lang w:val="el-GR" w:bidi="el-GR"/>
      </w:rPr>
      <w:t xml:space="preserve">Σελίδα </w:t>
    </w:r>
    <w:r w:rsidRPr="00916892">
      <w:rPr>
        <w:rFonts w:ascii="Effra Corp" w:eastAsia="Effra Corp" w:hAnsi="Effra Corp" w:cs="Arial"/>
        <w:sz w:val="16"/>
        <w:szCs w:val="16"/>
        <w:lang w:val="el-GR" w:bidi="el-GR"/>
      </w:rPr>
      <w:fldChar w:fldCharType="begin"/>
    </w:r>
    <w:r w:rsidRPr="00916892">
      <w:rPr>
        <w:rFonts w:ascii="Effra Corp" w:eastAsia="Effra Corp" w:hAnsi="Effra Corp" w:cs="Arial"/>
        <w:sz w:val="16"/>
        <w:szCs w:val="16"/>
        <w:lang w:val="el-GR" w:bidi="el-GR"/>
      </w:rPr>
      <w:instrText xml:space="preserve"> PAGE </w:instrText>
    </w:r>
    <w:r w:rsidRPr="00916892">
      <w:rPr>
        <w:rFonts w:ascii="Effra Corp" w:eastAsia="Effra Corp" w:hAnsi="Effra Corp" w:cs="Arial"/>
        <w:sz w:val="16"/>
        <w:szCs w:val="16"/>
        <w:lang w:val="el-GR" w:bidi="el-GR"/>
      </w:rPr>
      <w:fldChar w:fldCharType="separate"/>
    </w:r>
    <w:r>
      <w:rPr>
        <w:rFonts w:ascii="Effra Corp" w:eastAsia="Effra Corp" w:hAnsi="Effra Corp" w:cs="Arial"/>
        <w:noProof/>
        <w:sz w:val="16"/>
        <w:szCs w:val="16"/>
        <w:lang w:val="el-GR" w:bidi="el-GR"/>
      </w:rPr>
      <w:t>2</w:t>
    </w:r>
    <w:r w:rsidRPr="00916892">
      <w:rPr>
        <w:rFonts w:ascii="Effra Corp" w:eastAsia="Effra Corp" w:hAnsi="Effra Corp" w:cs="Arial"/>
        <w:sz w:val="16"/>
        <w:szCs w:val="16"/>
        <w:lang w:val="el-GR" w:bidi="el-GR"/>
      </w:rPr>
      <w:fldChar w:fldCharType="end"/>
    </w:r>
    <w:r w:rsidRPr="00916892">
      <w:rPr>
        <w:rFonts w:ascii="Effra Corp" w:eastAsia="Effra Corp" w:hAnsi="Effra Corp" w:cs="Arial"/>
        <w:sz w:val="16"/>
        <w:szCs w:val="16"/>
        <w:lang w:val="el-GR" w:bidi="el-GR"/>
      </w:rPr>
      <w:t xml:space="preserve"> από </w:t>
    </w:r>
    <w:r w:rsidR="0044307A">
      <w:rPr>
        <w:rFonts w:ascii="Effra Corp" w:eastAsia="Effra Corp" w:hAnsi="Effra Corp" w:cs="Arial"/>
        <w:sz w:val="16"/>
        <w:szCs w:val="16"/>
        <w:lang w:val="en-US" w:bidi="el-GR"/>
      </w:rPr>
      <w:t>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4B6A7" w14:textId="77777777" w:rsidR="00500565" w:rsidRPr="004F714F" w:rsidRDefault="00500565" w:rsidP="00577E29">
    <w:pPr>
      <w:tabs>
        <w:tab w:val="right" w:pos="9360"/>
      </w:tabs>
      <w:ind w:right="53"/>
      <w:jc w:val="right"/>
      <w:rPr>
        <w:rFonts w:ascii="Effra Corp" w:hAnsi="Effra Corp" w:cs="Arial"/>
        <w:b/>
        <w:bCs/>
        <w:sz w:val="16"/>
        <w:szCs w:val="16"/>
        <w:lang w:val="el-GR"/>
      </w:rPr>
    </w:pPr>
    <w:r>
      <w:rPr>
        <w:rFonts w:ascii="Effra Corp" w:eastAsia="Effra Corp" w:hAnsi="Effra Corp" w:cs="Arial"/>
        <w:b/>
        <w:noProof/>
        <w:sz w:val="16"/>
        <w:szCs w:val="16"/>
        <w:lang w:val="el-GR" w:bidi="el-GR"/>
      </w:rPr>
      <w:drawing>
        <wp:anchor distT="0" distB="0" distL="114300" distR="114300" simplePos="0" relativeHeight="251658240" behindDoc="1" locked="0" layoutInCell="1" allowOverlap="1" wp14:anchorId="3029908C" wp14:editId="727DD932">
          <wp:simplePos x="0" y="0"/>
          <wp:positionH relativeFrom="column">
            <wp:posOffset>-319405</wp:posOffset>
          </wp:positionH>
          <wp:positionV relativeFrom="paragraph">
            <wp:posOffset>-121285</wp:posOffset>
          </wp:positionV>
          <wp:extent cx="2343150" cy="504190"/>
          <wp:effectExtent l="19050" t="0" r="0" b="0"/>
          <wp:wrapTopAndBottom/>
          <wp:docPr id="14"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
                  <a:srcRect/>
                  <a:stretch>
                    <a:fillRect/>
                  </a:stretch>
                </pic:blipFill>
                <pic:spPr bwMode="auto">
                  <a:xfrm>
                    <a:off x="0" y="0"/>
                    <a:ext cx="2343150" cy="504190"/>
                  </a:xfrm>
                  <a:prstGeom prst="rect">
                    <a:avLst/>
                  </a:prstGeom>
                  <a:noFill/>
                </pic:spPr>
              </pic:pic>
            </a:graphicData>
          </a:graphic>
        </wp:anchor>
      </w:drawing>
    </w:r>
    <w:r w:rsidRPr="00500565">
      <w:rPr>
        <w:rFonts w:ascii="Effra Corp" w:eastAsia="Effra Corp" w:hAnsi="Effra Corp" w:cs="Arial"/>
        <w:b/>
        <w:sz w:val="16"/>
        <w:szCs w:val="16"/>
        <w:lang w:val="el-GR" w:bidi="el-GR"/>
      </w:rPr>
      <w:t>Περιληπτική ενημέρωση για την περίοδο που έληξε στις 2 Οκτωβρίου 2015</w:t>
    </w:r>
  </w:p>
  <w:p w14:paraId="67000BB1" w14:textId="77777777" w:rsidR="00500565" w:rsidRPr="00916892" w:rsidRDefault="00500565" w:rsidP="00916892">
    <w:pPr>
      <w:tabs>
        <w:tab w:val="right" w:pos="9360"/>
      </w:tabs>
      <w:spacing w:line="220" w:lineRule="atLeast"/>
      <w:ind w:right="53"/>
      <w:jc w:val="right"/>
      <w:rPr>
        <w:rFonts w:ascii="Effra Corp" w:hAnsi="Effra Corp" w:cs="Arial"/>
        <w:sz w:val="16"/>
        <w:szCs w:val="16"/>
      </w:rPr>
    </w:pPr>
    <w:r>
      <w:rPr>
        <w:rFonts w:ascii="Effra Corp" w:eastAsia="Effra Corp" w:hAnsi="Effra Corp" w:cs="Arial"/>
        <w:sz w:val="16"/>
        <w:szCs w:val="16"/>
        <w:lang w:val="el-GR" w:bidi="el-GR"/>
      </w:rPr>
      <w:tab/>
      <w:t>5 Νοεμβρίου 2015</w:t>
    </w:r>
  </w:p>
  <w:p w14:paraId="07CD7C24" w14:textId="77777777" w:rsidR="00500565" w:rsidRPr="00916892" w:rsidRDefault="00500565" w:rsidP="00916892">
    <w:pPr>
      <w:tabs>
        <w:tab w:val="right" w:pos="9360"/>
      </w:tabs>
      <w:spacing w:line="220" w:lineRule="atLeast"/>
      <w:ind w:right="53"/>
      <w:jc w:val="right"/>
      <w:rPr>
        <w:rFonts w:cs="Arial"/>
        <w:szCs w:val="16"/>
      </w:rPr>
    </w:pPr>
    <w:r w:rsidRPr="00916892">
      <w:rPr>
        <w:rFonts w:ascii="Effra Corp" w:eastAsia="Effra Corp" w:hAnsi="Effra Corp" w:cs="Arial"/>
        <w:sz w:val="16"/>
        <w:szCs w:val="16"/>
        <w:lang w:val="el-GR" w:bidi="el-GR"/>
      </w:rPr>
      <w:t xml:space="preserve">                                                                                                                                                                                                Σελίδα </w:t>
    </w:r>
    <w:r w:rsidRPr="00916892">
      <w:rPr>
        <w:rFonts w:ascii="Effra Corp" w:eastAsia="Effra Corp" w:hAnsi="Effra Corp" w:cs="Arial"/>
        <w:sz w:val="16"/>
        <w:szCs w:val="16"/>
        <w:lang w:val="el-GR" w:bidi="el-GR"/>
      </w:rPr>
      <w:fldChar w:fldCharType="begin"/>
    </w:r>
    <w:r w:rsidRPr="00916892">
      <w:rPr>
        <w:rFonts w:ascii="Effra Corp" w:eastAsia="Effra Corp" w:hAnsi="Effra Corp" w:cs="Arial"/>
        <w:sz w:val="16"/>
        <w:szCs w:val="16"/>
        <w:lang w:val="el-GR" w:bidi="el-GR"/>
      </w:rPr>
      <w:instrText xml:space="preserve"> PAGE </w:instrText>
    </w:r>
    <w:r w:rsidRPr="00916892">
      <w:rPr>
        <w:rFonts w:ascii="Effra Corp" w:eastAsia="Effra Corp" w:hAnsi="Effra Corp" w:cs="Arial"/>
        <w:sz w:val="16"/>
        <w:szCs w:val="16"/>
        <w:lang w:val="el-GR" w:bidi="el-GR"/>
      </w:rPr>
      <w:fldChar w:fldCharType="separate"/>
    </w:r>
    <w:r>
      <w:rPr>
        <w:rFonts w:ascii="Effra Corp" w:eastAsia="Effra Corp" w:hAnsi="Effra Corp" w:cs="Arial"/>
        <w:noProof/>
        <w:sz w:val="16"/>
        <w:szCs w:val="16"/>
        <w:lang w:val="el-GR" w:bidi="el-GR"/>
      </w:rPr>
      <w:t>1</w:t>
    </w:r>
    <w:r w:rsidRPr="00916892">
      <w:rPr>
        <w:rFonts w:ascii="Effra Corp" w:eastAsia="Effra Corp" w:hAnsi="Effra Corp" w:cs="Arial"/>
        <w:sz w:val="16"/>
        <w:szCs w:val="16"/>
        <w:lang w:val="el-GR" w:bidi="el-GR"/>
      </w:rPr>
      <w:fldChar w:fldCharType="end"/>
    </w:r>
    <w:r w:rsidRPr="00916892">
      <w:rPr>
        <w:rFonts w:ascii="Effra Corp" w:eastAsia="Effra Corp" w:hAnsi="Effra Corp" w:cs="Arial"/>
        <w:sz w:val="16"/>
        <w:szCs w:val="16"/>
        <w:lang w:val="el-GR" w:bidi="el-GR"/>
      </w:rPr>
      <w:t xml:space="preserve"> από 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978A9"/>
    <w:multiLevelType w:val="hybridMultilevel"/>
    <w:tmpl w:val="88886924"/>
    <w:lvl w:ilvl="0" w:tplc="493279A8">
      <w:start w:val="1"/>
      <w:numFmt w:val="bullet"/>
      <w:lvlText w:val="-"/>
      <w:lvlJc w:val="left"/>
      <w:pPr>
        <w:ind w:left="1080" w:hanging="360"/>
      </w:pPr>
      <w:rPr>
        <w:rFonts w:ascii="Courier New" w:hAnsi="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6F22151"/>
    <w:multiLevelType w:val="hybridMultilevel"/>
    <w:tmpl w:val="8DC2D1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FB4A08"/>
    <w:multiLevelType w:val="hybridMultilevel"/>
    <w:tmpl w:val="AD2C00D0"/>
    <w:lvl w:ilvl="0" w:tplc="A2982B66">
      <w:start w:val="1"/>
      <w:numFmt w:val="decimal"/>
      <w:lvlText w:val="%1"/>
      <w:lvlJc w:val="left"/>
      <w:pPr>
        <w:ind w:left="540" w:hanging="360"/>
      </w:pPr>
      <w:rPr>
        <w:rFonts w:hint="default"/>
        <w:vertAlign w:val="superscrip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 w15:restartNumberingAfterBreak="0">
    <w:nsid w:val="110514E8"/>
    <w:multiLevelType w:val="hybridMultilevel"/>
    <w:tmpl w:val="783C18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7C5A30"/>
    <w:multiLevelType w:val="hybridMultilevel"/>
    <w:tmpl w:val="7BAAC5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53D70C2"/>
    <w:multiLevelType w:val="hybridMultilevel"/>
    <w:tmpl w:val="326009B4"/>
    <w:lvl w:ilvl="0" w:tplc="04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8B03B85"/>
    <w:multiLevelType w:val="hybridMultilevel"/>
    <w:tmpl w:val="1832B168"/>
    <w:lvl w:ilvl="0" w:tplc="493279A8">
      <w:start w:val="1"/>
      <w:numFmt w:val="bullet"/>
      <w:lvlText w:val="-"/>
      <w:lvlJc w:val="left"/>
      <w:pPr>
        <w:ind w:left="360" w:hanging="360"/>
      </w:pPr>
      <w:rPr>
        <w:rFonts w:ascii="Courier New" w:hAnsi="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D3F229C"/>
    <w:multiLevelType w:val="hybridMultilevel"/>
    <w:tmpl w:val="0CCE7F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F0959DE"/>
    <w:multiLevelType w:val="hybridMultilevel"/>
    <w:tmpl w:val="AD0AFA62"/>
    <w:lvl w:ilvl="0" w:tplc="493279A8">
      <w:start w:val="1"/>
      <w:numFmt w:val="bullet"/>
      <w:lvlText w:val="-"/>
      <w:lvlJc w:val="left"/>
      <w:pPr>
        <w:ind w:left="360" w:hanging="360"/>
      </w:pPr>
      <w:rPr>
        <w:rFonts w:ascii="Courier New" w:hAnsi="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06C06AD"/>
    <w:multiLevelType w:val="hybridMultilevel"/>
    <w:tmpl w:val="9C922B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F8645F"/>
    <w:multiLevelType w:val="hybridMultilevel"/>
    <w:tmpl w:val="AB5674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7AD5C5B"/>
    <w:multiLevelType w:val="hybridMultilevel"/>
    <w:tmpl w:val="C896AF6A"/>
    <w:lvl w:ilvl="0" w:tplc="493279A8">
      <w:start w:val="1"/>
      <w:numFmt w:val="bullet"/>
      <w:lvlText w:val="-"/>
      <w:lvlJc w:val="left"/>
      <w:pPr>
        <w:ind w:left="1080" w:hanging="360"/>
      </w:pPr>
      <w:rPr>
        <w:rFonts w:ascii="Courier New" w:hAnsi="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7FB7D24"/>
    <w:multiLevelType w:val="hybridMultilevel"/>
    <w:tmpl w:val="58924B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0B24FAC"/>
    <w:multiLevelType w:val="hybridMultilevel"/>
    <w:tmpl w:val="8042DCFC"/>
    <w:lvl w:ilvl="0" w:tplc="04090001">
      <w:start w:val="1"/>
      <w:numFmt w:val="bullet"/>
      <w:lvlText w:val=""/>
      <w:lvlJc w:val="left"/>
      <w:pPr>
        <w:ind w:left="720" w:hanging="360"/>
      </w:pPr>
      <w:rPr>
        <w:rFonts w:ascii="Symbol"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1E878E3"/>
    <w:multiLevelType w:val="hybridMultilevel"/>
    <w:tmpl w:val="CE4E43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032EA1"/>
    <w:multiLevelType w:val="hybridMultilevel"/>
    <w:tmpl w:val="238E4C82"/>
    <w:lvl w:ilvl="0" w:tplc="829E6B58">
      <w:start w:val="3"/>
      <w:numFmt w:val="bullet"/>
      <w:lvlText w:val="-"/>
      <w:lvlJc w:val="left"/>
      <w:pPr>
        <w:ind w:left="360" w:hanging="360"/>
      </w:pPr>
      <w:rPr>
        <w:rFonts w:ascii="Calibri" w:eastAsiaTheme="minorHAnsi" w:hAnsi="Calibri" w:cs="Calibri"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5D22216"/>
    <w:multiLevelType w:val="hybridMultilevel"/>
    <w:tmpl w:val="B358E99E"/>
    <w:lvl w:ilvl="0" w:tplc="493279A8">
      <w:start w:val="1"/>
      <w:numFmt w:val="bullet"/>
      <w:lvlText w:val="-"/>
      <w:lvlJc w:val="left"/>
      <w:pPr>
        <w:ind w:left="1080" w:hanging="360"/>
      </w:pPr>
      <w:rPr>
        <w:rFonts w:ascii="Courier New" w:hAnsi="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56925BF8"/>
    <w:multiLevelType w:val="hybridMultilevel"/>
    <w:tmpl w:val="DFDC7864"/>
    <w:lvl w:ilvl="0" w:tplc="493279A8">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F4E6FFE"/>
    <w:multiLevelType w:val="hybridMultilevel"/>
    <w:tmpl w:val="6ADCE190"/>
    <w:lvl w:ilvl="0" w:tplc="04090001">
      <w:start w:val="1"/>
      <w:numFmt w:val="bullet"/>
      <w:lvlText w:val=""/>
      <w:lvlJc w:val="left"/>
      <w:pPr>
        <w:ind w:left="720" w:hanging="360"/>
      </w:pPr>
      <w:rPr>
        <w:rFonts w:ascii="Symbol"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32E34C5"/>
    <w:multiLevelType w:val="hybridMultilevel"/>
    <w:tmpl w:val="697E9C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BBB32A2"/>
    <w:multiLevelType w:val="hybridMultilevel"/>
    <w:tmpl w:val="539E28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744251AB"/>
    <w:multiLevelType w:val="hybridMultilevel"/>
    <w:tmpl w:val="9EF23CE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7F1B09D5"/>
    <w:multiLevelType w:val="hybridMultilevel"/>
    <w:tmpl w:val="AD2C00D0"/>
    <w:lvl w:ilvl="0" w:tplc="A2982B66">
      <w:start w:val="1"/>
      <w:numFmt w:val="decimal"/>
      <w:lvlText w:val="%1"/>
      <w:lvlJc w:val="left"/>
      <w:pPr>
        <w:ind w:left="540" w:hanging="360"/>
      </w:pPr>
      <w:rPr>
        <w:rFonts w:hint="default"/>
        <w:vertAlign w:val="superscrip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16cid:durableId="130115774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00408642">
    <w:abstractNumId w:val="2"/>
  </w:num>
  <w:num w:numId="3" w16cid:durableId="900290964">
    <w:abstractNumId w:val="22"/>
  </w:num>
  <w:num w:numId="4" w16cid:durableId="349721475">
    <w:abstractNumId w:val="5"/>
  </w:num>
  <w:num w:numId="5" w16cid:durableId="737246569">
    <w:abstractNumId w:val="17"/>
  </w:num>
  <w:num w:numId="6" w16cid:durableId="13582000">
    <w:abstractNumId w:val="18"/>
  </w:num>
  <w:num w:numId="7" w16cid:durableId="22445591">
    <w:abstractNumId w:val="6"/>
  </w:num>
  <w:num w:numId="8" w16cid:durableId="405614948">
    <w:abstractNumId w:val="13"/>
  </w:num>
  <w:num w:numId="9" w16cid:durableId="152379116">
    <w:abstractNumId w:val="8"/>
  </w:num>
  <w:num w:numId="10" w16cid:durableId="1408305470">
    <w:abstractNumId w:val="15"/>
  </w:num>
  <w:num w:numId="11" w16cid:durableId="1825589162">
    <w:abstractNumId w:val="20"/>
  </w:num>
  <w:num w:numId="12" w16cid:durableId="1875924194">
    <w:abstractNumId w:val="11"/>
  </w:num>
  <w:num w:numId="13" w16cid:durableId="1844083548">
    <w:abstractNumId w:val="16"/>
  </w:num>
  <w:num w:numId="14" w16cid:durableId="1494251174">
    <w:abstractNumId w:val="0"/>
  </w:num>
  <w:num w:numId="15" w16cid:durableId="1116556323">
    <w:abstractNumId w:val="19"/>
  </w:num>
  <w:num w:numId="16" w16cid:durableId="803616800">
    <w:abstractNumId w:val="1"/>
  </w:num>
  <w:num w:numId="17" w16cid:durableId="1972054364">
    <w:abstractNumId w:val="14"/>
  </w:num>
  <w:num w:numId="18" w16cid:durableId="1244603587">
    <w:abstractNumId w:val="5"/>
  </w:num>
  <w:num w:numId="19" w16cid:durableId="217519455">
    <w:abstractNumId w:val="21"/>
  </w:num>
  <w:num w:numId="20" w16cid:durableId="1250197421">
    <w:abstractNumId w:val="10"/>
  </w:num>
  <w:num w:numId="21" w16cid:durableId="694648519">
    <w:abstractNumId w:val="4"/>
  </w:num>
  <w:num w:numId="22" w16cid:durableId="206382195">
    <w:abstractNumId w:val="12"/>
  </w:num>
  <w:num w:numId="23" w16cid:durableId="1317953790">
    <w:abstractNumId w:val="3"/>
  </w:num>
  <w:num w:numId="24" w16cid:durableId="1748107552">
    <w:abstractNumId w:val="4"/>
  </w:num>
  <w:num w:numId="25" w16cid:durableId="565577072">
    <w:abstractNumId w:val="7"/>
  </w:num>
  <w:num w:numId="26" w16cid:durableId="2011105444">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WAFVersion" w:val="5.0"/>
    <w:docVar w:name="BIP_INFOS_DOC_TBL00001" w:val="BIP_OrganicReconciliation"/>
    <w:docVar w:name="BIP_INFOS_DOC_TBL00002" w:val="BIP_Growth_Table"/>
    <w:docVar w:name="BIP_INFOS_DOC_TBL00003" w:val="BIP_NARTD_Premium"/>
    <w:docVar w:name="BIP_INFOS_DOC_TBL00006" w:val="BIP_Segmemantal_NSR_Volume"/>
    <w:docVar w:name="BIP_META_DOC_TBL00001" w:val="&lt;OBJECT&gt;&lt;META&gt;&lt;ID&gt;&lt;/ID&gt;&lt;NAME&gt;DOC_TBL00001&lt;/NAME&gt;&lt;TYPE&gt;&lt;ID&gt;19&lt;/ID&gt;&lt;FRIENDLYNAME&gt;Table&lt;/FRIENDLYNAME&gt;&lt;LABEL&gt;&lt;/LABEL&gt;&lt;/TYPE&gt;&lt;STATUS&gt;DYN&lt;/STATUS&gt;&lt;SAFE&gt;&lt;/SAFE&gt;&lt;MARKCHANGES&gt;0&lt;/MARKCHANGES&gt;&lt;USESTYLES&gt;0&lt;/USESTYLES&gt;&lt;USETEMPLATES&gt;2&lt;/USETEMPLATES&gt;&lt;FXC&gt;1&lt;/FXC&gt;&lt;FXR&gt;1&lt;/FXR&gt;&lt;FORMAT&gt;&lt;/FORMAT&gt;&lt;FMODUS&gt;&lt;/FMODUS&gt;&lt;FLCID&gt;1033&lt;/FLCID&gt;&lt;RELATION&gt;&lt;/RELATION&gt;&lt;LINKED&gt;&lt;/LINKED&gt;&lt;SVALUE&gt;&lt;/SVALUE&gt;&lt;INFO&gt;&lt;/INFO&gt;&lt;/META&gt;&lt;UPDATE&gt;&lt;DATE&gt;10.1.10.2&lt;/DATE&gt;&lt;DYNAMIZEDBY&gt;HQ001205&lt;/DYNAMIZEDBY&gt;&lt;DYNAMIZEDON&gt;15-Apr-22 08:24:09&lt;/DYNAMIZEDON&gt;&lt;LASTUPDATEDBY&gt;HQ001205&lt;/LASTUPDATEDBY&gt;&lt;LASTUPDATEDON&gt;19-Apr-22 16:16:32&lt;/LASTUPDATEDON&gt;&lt;UTC&gt;1&lt;/UTC&gt;&lt;/UPDATE&gt;&lt;QUERIES bbk=&quot;1139&quot; bbkdesc=&quot;Q1 2022 Trading Update/Q1 2022 Trading Update/Front half tables&quot; datapro=&quot;BIP_OrganicReconciliation&quot; tdatapro=&quot;BIP_OrganicReconciliation&quot; author=&quot;&quot; modtime=&quot;19-Apr-22 16:15:47&quot; moduser=&quot;HQ001205&quot; rolluptime=&quot;&quot; syuser=&quot;HQ001205&quot; syuzeit=&quot;19-Apr-22 16:15:47&quot; root=&quot;/BBOOK/DATAPROVIDER[./META/PROPS/ID='BIP_OrganicReconciliation']/DATA&quot; colcount=&quot;5&quot; rowcount=&quot;33&quot; url=&quot;&quot; dynamizeds=&quot;SAP DM 10.1&quot; dynamizedstype=&quot;9&quot; refreshds=&quot;&quot; viewtype=&quot;1&quot;&gt;&lt;QUERY reftype=&quot;ABS&quot; elmntsel=&quot;TABLE&quot; bbk=&quot;1139&quot; bbkdesc=&quot;Q1 2022 Trading Update/Q1 2022 Trading Update/Front half tables&quot; datapro=&quot;BIP_OrganicReconciliation&quot; infos=&quot;&quot; iscomment=&quot;0&quot;&gt;&lt;SELECT&gt;/BBOOK/DATAPROVIDER[./META/PROPS/ID='BIP_OrganicReconciliation']/DATA/ROW&lt;/SELECT&gt;&lt;FILTERS&gt;&lt;FILTER&gt;&lt;/FILTER&gt;&lt;/FILTERS&gt;&lt;/QUERY&gt;&lt;/QUERIES&gt;&lt;/OBJECT&gt;"/>
    <w:docVar w:name="BIP_META_DOC_TBL00002" w:val="&lt;OBJECT&gt;&lt;META&gt;&lt;ID&gt;&lt;/ID&gt;&lt;NAME&gt;DOC_TBL00002&lt;/NAME&gt;&lt;TYPE&gt;&lt;ID&gt;19&lt;/ID&gt;&lt;FRIENDLYNAME&gt;Table&lt;/FRIENDLYNAME&gt;&lt;LABEL&gt;&lt;/LABEL&gt;&lt;/TYPE&gt;&lt;STATUS&gt;DYN&lt;/STATUS&gt;&lt;SAFE&gt;&lt;/SAFE&gt;&lt;MARKCHANGES&gt;0&lt;/MARKCHANGES&gt;&lt;USESTYLES&gt;0&lt;/USESTYLES&gt;&lt;USETEMPLATES&gt;2&lt;/USETEMPLATES&gt;&lt;FXC&gt;1&lt;/FXC&gt;&lt;FXR&gt;1&lt;/FXR&gt;&lt;FORMAT&gt;&lt;/FORMAT&gt;&lt;FMODUS&gt;&lt;/FMODUS&gt;&lt;FLCID&gt;1033&lt;/FLCID&gt;&lt;RELATION&gt;&lt;/RELATION&gt;&lt;LINKED&gt;&lt;/LINKED&gt;&lt;SVALUE&gt;&lt;/SVALUE&gt;&lt;INFO&gt;&lt;/INFO&gt;&lt;/META&gt;&lt;UPDATE&gt;&lt;DATE&gt;10.1.10.2&lt;/DATE&gt;&lt;DYNAMIZEDBY&gt;HQ001205&lt;/DYNAMIZEDBY&gt;&lt;DYNAMIZEDON&gt;01-Apr-22 10:50:54&lt;/DYNAMIZEDON&gt;&lt;LASTUPDATEDBY&gt;HQ001205&lt;/LASTUPDATEDBY&gt;&lt;LASTUPDATEDON&gt;19-Apr-22 08:26:47&lt;/LASTUPDATEDON&gt;&lt;UTC&gt;1&lt;/UTC&gt;&lt;/UPDATE&gt;&lt;QUERIES bbk=&quot;1139&quot; bbkdesc=&quot;Q1 2022 Trading Update/Q1 2022 Trading Update/Front half tables&quot; datapro=&quot;BIP_Growth_Table&quot; tdatapro=&quot;BIP_Growth_Table&quot; author=&quot;&quot; modtime=&quot;19-Apr-22 08:25:59&quot; moduser=&quot;HQ001205&quot; rolluptime=&quot;&quot; syuser=&quot;HQ001205&quot; syuzeit=&quot;19-Apr-22 08:25:59&quot; root=&quot;/BBOOK/DATAPROVIDER[./META/PROPS/ID='BIP_Growth_Table']/DATA&quot; colcount=&quot;7&quot; rowcount=&quot;6&quot; url=&quot;&quot; dynamizeds=&quot;SAP DM 10.1&quot; dynamizedstype=&quot;9&quot; refreshds=&quot;&quot; viewtype=&quot;1&quot;&gt;&lt;QUERY reftype=&quot;ABS&quot; elmntsel=&quot;TABLE&quot; bbk=&quot;1139&quot; bbkdesc=&quot;Q1 2022 Trading Update/Q1 2022 Trading Update/Front half tables&quot; datapro=&quot;BIP_Growth_Table&quot; infos=&quot;&quot; iscomment=&quot;0&quot;&gt;&lt;SELECT&gt;/BBOOK/DATAPROVIDER[./META/PROPS/ID='BIP_Growth_Table']/DATA/ROW&lt;/SELECT&gt;&lt;FILTERS&gt;&lt;FILTER&gt;&lt;/FILTER&gt;&lt;/FILTERS&gt;&lt;/QUERY&gt;&lt;/QUERIES&gt;&lt;/OBJECT&gt;"/>
    <w:docVar w:name="BIP_META_DOC_TBL00003" w:val="&lt;OBJECT&gt;&lt;META&gt;&lt;ID&gt;&lt;/ID&gt;&lt;NAME&gt;DOC_TBL00003&lt;/NAME&gt;&lt;TYPE&gt;&lt;ID&gt;19&lt;/ID&gt;&lt;FRIENDLYNAME&gt;Table&lt;/FRIENDLYNAME&gt;&lt;LABEL&gt;&lt;/LABEL&gt;&lt;/TYPE&gt;&lt;STATUS&gt;DYN&lt;/STATUS&gt;&lt;SAFE&gt;&lt;/SAFE&gt;&lt;MARKCHANGES&gt;0&lt;/MARKCHANGES&gt;&lt;USESTYLES&gt;0&lt;/USESTYLES&gt;&lt;USETEMPLATES&gt;2&lt;/USETEMPLATES&gt;&lt;FXC&gt;1&lt;/FXC&gt;&lt;FXR&gt;1&lt;/FXR&gt;&lt;FORMAT&gt;&lt;/FORMAT&gt;&lt;FMODUS&gt;&lt;/FMODUS&gt;&lt;FLCID&gt;1033&lt;/FLCID&gt;&lt;RELATION&gt;&lt;/RELATION&gt;&lt;LINKED&gt;&lt;/LINKED&gt;&lt;SVALUE&gt;&lt;/SVALUE&gt;&lt;INFO&gt;&lt;/INFO&gt;&lt;/META&gt;&lt;UPDATE&gt;&lt;DATE&gt;10.1.10.2&lt;/DATE&gt;&lt;DYNAMIZEDBY&gt;HQ001166&lt;/DYNAMIZEDBY&gt;&lt;DYNAMIZEDON&gt;01/03/2021 17:18:13&lt;/DYNAMIZEDON&gt;&lt;LASTUPDATEDBY&gt;HQ001205&lt;/LASTUPDATEDBY&gt;&lt;LASTUPDATEDON&gt;19-Apr-22 15:58:07&lt;/LASTUPDATEDON&gt;&lt;UTC&gt;1&lt;/UTC&gt;&lt;/UPDATE&gt;&lt;QUERIES bbk=&quot;1139&quot; bbkdesc=&quot;Q1 2022 Trading Update/Q1 2022 Trading Update/Front half tables&quot; datapro=&quot;BIP_NARTD_Premium&quot; tdatapro=&quot;BIP_NARTD_Premium&quot; author=&quot;&quot; modtime=&quot;19-Apr-22 15:56:24&quot; moduser=&quot;HQ001205&quot; rolluptime=&quot;&quot; syuser=&quot;HQ001205&quot; syuzeit=&quot;19-Apr-22 15:56:24&quot; root=&quot;/BBOOK/DATAPROVIDER[./META/PROPS/ID='BIP_NARTD_Premium']/DATA&quot; colcount=&quot;5&quot; rowcount=&quot;12&quot; url=&quot;&quot; dynamizeds=&quot;SAP DM 10.1&quot; dynamizedstype=&quot;9&quot; refreshds=&quot;&quot; viewtype=&quot;1&quot;&gt;&lt;QUERY reftype=&quot;ABS&quot; elmntsel=&quot;TABLE&quot; bbk=&quot;1139&quot; bbkdesc=&quot;Q1 2022 Trading Update/Q1 2022 Trading Update/Front half tables&quot; datapro=&quot;BIP_NARTD_Premium&quot; infos=&quot;&quot; iscomment=&quot;0&quot;&gt;&lt;SELECT&gt;/BBOOK/DATAPROVIDER[./META/PROPS/ID='BIP_NARTD_Premium']/DATA/ROW&lt;/SELECT&gt;&lt;FILTERS&gt;&lt;FILTER&gt;&lt;/FILTER&gt;&lt;/FILTERS&gt;&lt;/QUERY&gt;&lt;/QUERIES&gt;&lt;/OBJECT&gt;"/>
    <w:docVar w:name="BIP_META_DOC_TBL00006" w:val="&lt;OBJECT&gt;&lt;META&gt;&lt;ID&gt;&lt;/ID&gt;&lt;NAME&gt;DOC_TBL00006&lt;/NAME&gt;&lt;TYPE&gt;&lt;ID&gt;19&lt;/ID&gt;&lt;FRIENDLYNAME&gt;Table&lt;/FRIENDLYNAME&gt;&lt;LABEL&gt;&lt;/LABEL&gt;&lt;/TYPE&gt;&lt;STATUS&gt;DYN&lt;/STATUS&gt;&lt;SAFE&gt;&lt;/SAFE&gt;&lt;MARKCHANGES&gt;0&lt;/MARKCHANGES&gt;&lt;USESTYLES&gt;0&lt;/USESTYLES&gt;&lt;USETEMPLATES&gt;2&lt;/USETEMPLATES&gt;&lt;FXC&gt;1&lt;/FXC&gt;&lt;FXR&gt;1&lt;/FXR&gt;&lt;FORMAT&gt;&lt;/FORMAT&gt;&lt;FMODUS&gt;&lt;/FMODUS&gt;&lt;FLCID&gt;1033&lt;/FLCID&gt;&lt;RELATION&gt;&lt;/RELATION&gt;&lt;LINKED&gt;&lt;/LINKED&gt;&lt;SVALUE&gt;&lt;/SVALUE&gt;&lt;INFO&gt;&lt;/INFO&gt;&lt;/META&gt;&lt;UPDATE&gt;&lt;DATE&gt;10.1.10.2&lt;/DATE&gt;&lt;DYNAMIZEDBY&gt;HQ001166&lt;/DYNAMIZEDBY&gt;&lt;DYNAMIZEDON&gt;01/03/2021 17:13:39&lt;/DYNAMIZEDON&gt;&lt;LASTUPDATEDBY&gt;HQ001205&lt;/LASTUPDATEDBY&gt;&lt;LASTUPDATEDON&gt;18-Apr-22 15:10:53&lt;/LASTUPDATEDON&gt;&lt;UTC&gt;1&lt;/UTC&gt;&lt;/UPDATE&gt;&lt;QUERIES bbk=&quot;1139&quot; bbkdesc=&quot;Q1 2022 Trading Update/Q1 2022 Trading Update/Front half tables&quot; datapro=&quot;BIP_Segmemantal_NSR_Volume&quot; tdatapro=&quot;BIP_Segmemantal_NSR_Volume&quot; author=&quot;&quot; modtime=&quot;18-Apr-22 15:03:12&quot; moduser=&quot;HQ001205&quot; rolluptime=&quot;&quot; syuser=&quot;HQ001205&quot; syuzeit=&quot;18-Apr-22 15:03:12&quot; root=&quot;/BBOOK/DATAPROVIDER[./META/PROPS/ID='BIP_Segmemantal_NSR_Volume']/DATA&quot; colcount=&quot;5&quot; rowcount=&quot;16&quot; url=&quot;&quot; dynamizeds=&quot;SAP DM 10.1&quot; dynamizedstype=&quot;9&quot; refreshds=&quot;&quot; viewtype=&quot;1&quot;&gt;&lt;QUERY reftype=&quot;ABS&quot; elmntsel=&quot;TABLE&quot; bbk=&quot;1139&quot; bbkdesc=&quot;Q1 2022 Trading Update/Q1 2022 Trading Update/Front half tables&quot; datapro=&quot;BIP_Segmemantal_NSR_Volume&quot; infos=&quot;&quot; iscomment=&quot;0&quot;&gt;&lt;SELECT&gt;/BBOOK/DATAPROVIDER[./META/PROPS/ID='BIP_Segmemantal_NSR_Volume']/DATA/ROW&lt;/SELECT&gt;&lt;FILTERS&gt;&lt;FILTER&gt;&lt;/FILTER&gt;&lt;/FILTERS&gt;&lt;/QUERY&gt;&lt;/QUERIES&gt;&lt;/OBJECT&gt;"/>
    <w:docVar w:name="BIP_NAME_DOC_TBL00001" w:val="DOC_TBL00001"/>
    <w:docVar w:name="BIP_NAME_DOC_TBL00002" w:val="DOC_TBL00002"/>
    <w:docVar w:name="BIP_NAME_DOC_TBL00003" w:val="DOC_TBL00003"/>
    <w:docVar w:name="BIP_NAME_DOC_TBL00006" w:val="DOC_TBL00006"/>
    <w:docVar w:name="BIP_OBJECTTYPE_DOC_TBL00001" w:val="ChangedType"/>
    <w:docVar w:name="BIP_OBJECTTYPE_DOC_TBL00002" w:val="ChangedType"/>
    <w:docVar w:name="BIP_OBJECTTYPE_DOC_TBL00003" w:val="ChangedType"/>
    <w:docVar w:name="BIP_OBJECTTYPE_DOC_TBL00006" w:val="ChangedType"/>
    <w:docVar w:name="BIP_VARIABLES" w:val="&lt;BBOOKS&gt;&lt;BBOOK bbname=&quot;DefaultVariables&quot;&gt;&lt;VARIABLES /&gt;&lt;/BBOOK&gt;&lt;BBOOK bbname=&quot;1139&quot; bbdesc=&quot;Q1 2022 Trading Update/Q1 2022 Trading Update/Front half tables&quot; dsname=&quot;SAP DM 10.1&quot;&gt;&lt;VARIABLES&gt;&lt;/VARIABLES&gt;&lt;/BBOOK&gt;&lt;/BBOOKS&gt;"/>
    <w:docVar w:name="BIP_VERSION_DOC_TBL00001" w:val="4.0.42000"/>
    <w:docVar w:name="BIP_VERSION_DOC_TBL00002" w:val="4.0.42000"/>
    <w:docVar w:name="BIP_VERSION_DOC_TBL00003" w:val="4.0.42000"/>
    <w:docVar w:name="BIP_VERSION_DOC_TBL00006" w:val="4.0.42000"/>
  </w:docVars>
  <w:rsids>
    <w:rsidRoot w:val="0035188F"/>
    <w:rsid w:val="000001F6"/>
    <w:rsid w:val="000005C1"/>
    <w:rsid w:val="00000654"/>
    <w:rsid w:val="000008CD"/>
    <w:rsid w:val="000008D5"/>
    <w:rsid w:val="00000B91"/>
    <w:rsid w:val="00001481"/>
    <w:rsid w:val="00001719"/>
    <w:rsid w:val="00001888"/>
    <w:rsid w:val="00001922"/>
    <w:rsid w:val="00001960"/>
    <w:rsid w:val="00002D7E"/>
    <w:rsid w:val="00003952"/>
    <w:rsid w:val="00003FD0"/>
    <w:rsid w:val="000044C6"/>
    <w:rsid w:val="00004552"/>
    <w:rsid w:val="00004842"/>
    <w:rsid w:val="000048FD"/>
    <w:rsid w:val="00004E94"/>
    <w:rsid w:val="00004EF9"/>
    <w:rsid w:val="0000513C"/>
    <w:rsid w:val="0000530A"/>
    <w:rsid w:val="00005A46"/>
    <w:rsid w:val="00005BD6"/>
    <w:rsid w:val="00006000"/>
    <w:rsid w:val="0000612A"/>
    <w:rsid w:val="000061F7"/>
    <w:rsid w:val="000063F1"/>
    <w:rsid w:val="00006472"/>
    <w:rsid w:val="0000672E"/>
    <w:rsid w:val="0000688F"/>
    <w:rsid w:val="00006C73"/>
    <w:rsid w:val="000074D6"/>
    <w:rsid w:val="000074EC"/>
    <w:rsid w:val="00007D0D"/>
    <w:rsid w:val="0001027C"/>
    <w:rsid w:val="00010598"/>
    <w:rsid w:val="000106E6"/>
    <w:rsid w:val="00010AF4"/>
    <w:rsid w:val="00010E50"/>
    <w:rsid w:val="000111A2"/>
    <w:rsid w:val="00011D18"/>
    <w:rsid w:val="0001235C"/>
    <w:rsid w:val="00012C63"/>
    <w:rsid w:val="00012E52"/>
    <w:rsid w:val="00013351"/>
    <w:rsid w:val="0001355A"/>
    <w:rsid w:val="00013C53"/>
    <w:rsid w:val="00013CB2"/>
    <w:rsid w:val="00013FAC"/>
    <w:rsid w:val="00015936"/>
    <w:rsid w:val="00015F7B"/>
    <w:rsid w:val="000163A2"/>
    <w:rsid w:val="00016E40"/>
    <w:rsid w:val="00017241"/>
    <w:rsid w:val="000172FD"/>
    <w:rsid w:val="000175A4"/>
    <w:rsid w:val="00017638"/>
    <w:rsid w:val="00017CF1"/>
    <w:rsid w:val="00017F77"/>
    <w:rsid w:val="0002020F"/>
    <w:rsid w:val="00020367"/>
    <w:rsid w:val="00020EC4"/>
    <w:rsid w:val="00021862"/>
    <w:rsid w:val="000219C1"/>
    <w:rsid w:val="0002206B"/>
    <w:rsid w:val="000224F2"/>
    <w:rsid w:val="000229B0"/>
    <w:rsid w:val="00022C78"/>
    <w:rsid w:val="00022F11"/>
    <w:rsid w:val="00022FD6"/>
    <w:rsid w:val="00022FE3"/>
    <w:rsid w:val="00023D9D"/>
    <w:rsid w:val="0002427B"/>
    <w:rsid w:val="00024418"/>
    <w:rsid w:val="0002462E"/>
    <w:rsid w:val="00024660"/>
    <w:rsid w:val="0002466E"/>
    <w:rsid w:val="00024A9F"/>
    <w:rsid w:val="00024DD9"/>
    <w:rsid w:val="00024E0C"/>
    <w:rsid w:val="00024F2C"/>
    <w:rsid w:val="000250E3"/>
    <w:rsid w:val="000252B4"/>
    <w:rsid w:val="00025616"/>
    <w:rsid w:val="00025994"/>
    <w:rsid w:val="00025A2C"/>
    <w:rsid w:val="00025D73"/>
    <w:rsid w:val="00026414"/>
    <w:rsid w:val="0002642A"/>
    <w:rsid w:val="00026BDF"/>
    <w:rsid w:val="00026C88"/>
    <w:rsid w:val="00026E62"/>
    <w:rsid w:val="000275CB"/>
    <w:rsid w:val="00027671"/>
    <w:rsid w:val="00027B2F"/>
    <w:rsid w:val="00027C9C"/>
    <w:rsid w:val="000303A8"/>
    <w:rsid w:val="0003044E"/>
    <w:rsid w:val="000306B2"/>
    <w:rsid w:val="00030BC3"/>
    <w:rsid w:val="00030DDF"/>
    <w:rsid w:val="00031573"/>
    <w:rsid w:val="00031598"/>
    <w:rsid w:val="00032BB8"/>
    <w:rsid w:val="00033049"/>
    <w:rsid w:val="000333E1"/>
    <w:rsid w:val="00033776"/>
    <w:rsid w:val="00033D5F"/>
    <w:rsid w:val="00033FCC"/>
    <w:rsid w:val="00034318"/>
    <w:rsid w:val="00034E36"/>
    <w:rsid w:val="00034EBC"/>
    <w:rsid w:val="00035BDE"/>
    <w:rsid w:val="00035D6F"/>
    <w:rsid w:val="00035DF5"/>
    <w:rsid w:val="000365DE"/>
    <w:rsid w:val="00036A93"/>
    <w:rsid w:val="000376D3"/>
    <w:rsid w:val="000376DA"/>
    <w:rsid w:val="000377CF"/>
    <w:rsid w:val="00037CA0"/>
    <w:rsid w:val="00037ED0"/>
    <w:rsid w:val="00040179"/>
    <w:rsid w:val="00040BD8"/>
    <w:rsid w:val="00041405"/>
    <w:rsid w:val="00041789"/>
    <w:rsid w:val="00041EE4"/>
    <w:rsid w:val="0004243A"/>
    <w:rsid w:val="00042849"/>
    <w:rsid w:val="00042A5B"/>
    <w:rsid w:val="00043168"/>
    <w:rsid w:val="000435AB"/>
    <w:rsid w:val="00043652"/>
    <w:rsid w:val="00043A94"/>
    <w:rsid w:val="00043FDA"/>
    <w:rsid w:val="00044015"/>
    <w:rsid w:val="0004414B"/>
    <w:rsid w:val="000443AE"/>
    <w:rsid w:val="00044E7C"/>
    <w:rsid w:val="00045EF3"/>
    <w:rsid w:val="00046836"/>
    <w:rsid w:val="00046AA3"/>
    <w:rsid w:val="00046B92"/>
    <w:rsid w:val="00046E0F"/>
    <w:rsid w:val="00046E8C"/>
    <w:rsid w:val="0004700E"/>
    <w:rsid w:val="000475D2"/>
    <w:rsid w:val="0005049A"/>
    <w:rsid w:val="00050686"/>
    <w:rsid w:val="000507CD"/>
    <w:rsid w:val="000508AC"/>
    <w:rsid w:val="00050B19"/>
    <w:rsid w:val="000512D1"/>
    <w:rsid w:val="0005192E"/>
    <w:rsid w:val="00051A1F"/>
    <w:rsid w:val="0005297F"/>
    <w:rsid w:val="00052ADA"/>
    <w:rsid w:val="000537C1"/>
    <w:rsid w:val="00053DD0"/>
    <w:rsid w:val="00053EE9"/>
    <w:rsid w:val="00054194"/>
    <w:rsid w:val="00054985"/>
    <w:rsid w:val="00054D38"/>
    <w:rsid w:val="00055492"/>
    <w:rsid w:val="00056010"/>
    <w:rsid w:val="00056097"/>
    <w:rsid w:val="00056FAC"/>
    <w:rsid w:val="0005707D"/>
    <w:rsid w:val="000574C2"/>
    <w:rsid w:val="000575D1"/>
    <w:rsid w:val="000575EC"/>
    <w:rsid w:val="00057B3C"/>
    <w:rsid w:val="00057DDB"/>
    <w:rsid w:val="00057DFC"/>
    <w:rsid w:val="00057E66"/>
    <w:rsid w:val="00060776"/>
    <w:rsid w:val="00060CF1"/>
    <w:rsid w:val="0006109B"/>
    <w:rsid w:val="00061364"/>
    <w:rsid w:val="00061F58"/>
    <w:rsid w:val="000621A7"/>
    <w:rsid w:val="00062397"/>
    <w:rsid w:val="00062EE5"/>
    <w:rsid w:val="00062F07"/>
    <w:rsid w:val="00063231"/>
    <w:rsid w:val="00063496"/>
    <w:rsid w:val="00063BFD"/>
    <w:rsid w:val="00063E08"/>
    <w:rsid w:val="00063E1C"/>
    <w:rsid w:val="00063FEC"/>
    <w:rsid w:val="0006405A"/>
    <w:rsid w:val="0006421D"/>
    <w:rsid w:val="0006437B"/>
    <w:rsid w:val="0006475E"/>
    <w:rsid w:val="000647DE"/>
    <w:rsid w:val="000648DC"/>
    <w:rsid w:val="00064D23"/>
    <w:rsid w:val="00064F80"/>
    <w:rsid w:val="00065302"/>
    <w:rsid w:val="000653C1"/>
    <w:rsid w:val="000654CC"/>
    <w:rsid w:val="00065535"/>
    <w:rsid w:val="00065938"/>
    <w:rsid w:val="00065B3E"/>
    <w:rsid w:val="00065DF5"/>
    <w:rsid w:val="00066951"/>
    <w:rsid w:val="00066E67"/>
    <w:rsid w:val="000674E5"/>
    <w:rsid w:val="00067F0D"/>
    <w:rsid w:val="00070115"/>
    <w:rsid w:val="00070183"/>
    <w:rsid w:val="000705AD"/>
    <w:rsid w:val="0007104C"/>
    <w:rsid w:val="000717B7"/>
    <w:rsid w:val="00071B84"/>
    <w:rsid w:val="00072610"/>
    <w:rsid w:val="00072699"/>
    <w:rsid w:val="000727E2"/>
    <w:rsid w:val="00072DA8"/>
    <w:rsid w:val="000731A5"/>
    <w:rsid w:val="000736A2"/>
    <w:rsid w:val="000760EA"/>
    <w:rsid w:val="00076281"/>
    <w:rsid w:val="0007643C"/>
    <w:rsid w:val="00077614"/>
    <w:rsid w:val="000779E2"/>
    <w:rsid w:val="00077BDA"/>
    <w:rsid w:val="000800F2"/>
    <w:rsid w:val="00080280"/>
    <w:rsid w:val="000802D3"/>
    <w:rsid w:val="00080592"/>
    <w:rsid w:val="000810C6"/>
    <w:rsid w:val="00081290"/>
    <w:rsid w:val="0008165B"/>
    <w:rsid w:val="00081822"/>
    <w:rsid w:val="00082766"/>
    <w:rsid w:val="00082C7B"/>
    <w:rsid w:val="00082EC2"/>
    <w:rsid w:val="00082EE9"/>
    <w:rsid w:val="000833D0"/>
    <w:rsid w:val="00083551"/>
    <w:rsid w:val="00083678"/>
    <w:rsid w:val="00083BB5"/>
    <w:rsid w:val="000845F7"/>
    <w:rsid w:val="00084AAD"/>
    <w:rsid w:val="00084F2E"/>
    <w:rsid w:val="000851AA"/>
    <w:rsid w:val="000851EE"/>
    <w:rsid w:val="0008542E"/>
    <w:rsid w:val="00085B08"/>
    <w:rsid w:val="00085ED5"/>
    <w:rsid w:val="00086D18"/>
    <w:rsid w:val="00086D63"/>
    <w:rsid w:val="00087155"/>
    <w:rsid w:val="00087181"/>
    <w:rsid w:val="00087717"/>
    <w:rsid w:val="000879E3"/>
    <w:rsid w:val="00087F58"/>
    <w:rsid w:val="000900E0"/>
    <w:rsid w:val="000903C5"/>
    <w:rsid w:val="00090908"/>
    <w:rsid w:val="000915BF"/>
    <w:rsid w:val="000915FD"/>
    <w:rsid w:val="000919E8"/>
    <w:rsid w:val="00091C7E"/>
    <w:rsid w:val="00091E8E"/>
    <w:rsid w:val="00091EC5"/>
    <w:rsid w:val="00092631"/>
    <w:rsid w:val="00093171"/>
    <w:rsid w:val="000931CF"/>
    <w:rsid w:val="0009382F"/>
    <w:rsid w:val="00093E74"/>
    <w:rsid w:val="000942D1"/>
    <w:rsid w:val="00094698"/>
    <w:rsid w:val="00094724"/>
    <w:rsid w:val="00094ED6"/>
    <w:rsid w:val="00094F90"/>
    <w:rsid w:val="00095219"/>
    <w:rsid w:val="00095E00"/>
    <w:rsid w:val="00095FA9"/>
    <w:rsid w:val="00096440"/>
    <w:rsid w:val="00096EAA"/>
    <w:rsid w:val="00096FDB"/>
    <w:rsid w:val="000975A4"/>
    <w:rsid w:val="0009763C"/>
    <w:rsid w:val="00097839"/>
    <w:rsid w:val="000978E8"/>
    <w:rsid w:val="0009796F"/>
    <w:rsid w:val="00097D9C"/>
    <w:rsid w:val="000A060A"/>
    <w:rsid w:val="000A0D5F"/>
    <w:rsid w:val="000A108E"/>
    <w:rsid w:val="000A2179"/>
    <w:rsid w:val="000A2308"/>
    <w:rsid w:val="000A2384"/>
    <w:rsid w:val="000A2D5B"/>
    <w:rsid w:val="000A2DC7"/>
    <w:rsid w:val="000A30A4"/>
    <w:rsid w:val="000A31E7"/>
    <w:rsid w:val="000A35C6"/>
    <w:rsid w:val="000A4255"/>
    <w:rsid w:val="000A4CB4"/>
    <w:rsid w:val="000A4D08"/>
    <w:rsid w:val="000A50E6"/>
    <w:rsid w:val="000A5838"/>
    <w:rsid w:val="000A584C"/>
    <w:rsid w:val="000A6C0A"/>
    <w:rsid w:val="000A70F0"/>
    <w:rsid w:val="000A7644"/>
    <w:rsid w:val="000A7729"/>
    <w:rsid w:val="000A7976"/>
    <w:rsid w:val="000A7B54"/>
    <w:rsid w:val="000B0D92"/>
    <w:rsid w:val="000B1433"/>
    <w:rsid w:val="000B194F"/>
    <w:rsid w:val="000B204F"/>
    <w:rsid w:val="000B24D4"/>
    <w:rsid w:val="000B283B"/>
    <w:rsid w:val="000B28FD"/>
    <w:rsid w:val="000B292A"/>
    <w:rsid w:val="000B2CF8"/>
    <w:rsid w:val="000B31F8"/>
    <w:rsid w:val="000B35B2"/>
    <w:rsid w:val="000B3901"/>
    <w:rsid w:val="000B399E"/>
    <w:rsid w:val="000B3D58"/>
    <w:rsid w:val="000B46E4"/>
    <w:rsid w:val="000B4757"/>
    <w:rsid w:val="000B496A"/>
    <w:rsid w:val="000B5C1D"/>
    <w:rsid w:val="000B5DFB"/>
    <w:rsid w:val="000B6276"/>
    <w:rsid w:val="000B654D"/>
    <w:rsid w:val="000B6D21"/>
    <w:rsid w:val="000B7603"/>
    <w:rsid w:val="000B7864"/>
    <w:rsid w:val="000B7976"/>
    <w:rsid w:val="000B7D2E"/>
    <w:rsid w:val="000C07D8"/>
    <w:rsid w:val="000C0EBC"/>
    <w:rsid w:val="000C0FED"/>
    <w:rsid w:val="000C14EC"/>
    <w:rsid w:val="000C1F1B"/>
    <w:rsid w:val="000C2027"/>
    <w:rsid w:val="000C271A"/>
    <w:rsid w:val="000C27D5"/>
    <w:rsid w:val="000C2985"/>
    <w:rsid w:val="000C29E8"/>
    <w:rsid w:val="000C3146"/>
    <w:rsid w:val="000C3542"/>
    <w:rsid w:val="000C3F38"/>
    <w:rsid w:val="000C4BE2"/>
    <w:rsid w:val="000C568E"/>
    <w:rsid w:val="000C581A"/>
    <w:rsid w:val="000C5AEE"/>
    <w:rsid w:val="000C5B23"/>
    <w:rsid w:val="000C5BE9"/>
    <w:rsid w:val="000C5EA7"/>
    <w:rsid w:val="000C61BC"/>
    <w:rsid w:val="000C62EF"/>
    <w:rsid w:val="000C6C40"/>
    <w:rsid w:val="000C6DDD"/>
    <w:rsid w:val="000C7394"/>
    <w:rsid w:val="000C7469"/>
    <w:rsid w:val="000C798A"/>
    <w:rsid w:val="000C7BBF"/>
    <w:rsid w:val="000C7EC5"/>
    <w:rsid w:val="000D013C"/>
    <w:rsid w:val="000D02AA"/>
    <w:rsid w:val="000D071D"/>
    <w:rsid w:val="000D0A65"/>
    <w:rsid w:val="000D0D43"/>
    <w:rsid w:val="000D0F14"/>
    <w:rsid w:val="000D106E"/>
    <w:rsid w:val="000D189F"/>
    <w:rsid w:val="000D19F2"/>
    <w:rsid w:val="000D1BD6"/>
    <w:rsid w:val="000D1CB0"/>
    <w:rsid w:val="000D2280"/>
    <w:rsid w:val="000D22A8"/>
    <w:rsid w:val="000D2377"/>
    <w:rsid w:val="000D23A4"/>
    <w:rsid w:val="000D2429"/>
    <w:rsid w:val="000D24F2"/>
    <w:rsid w:val="000D2895"/>
    <w:rsid w:val="000D2A4F"/>
    <w:rsid w:val="000D2EA8"/>
    <w:rsid w:val="000D342F"/>
    <w:rsid w:val="000D3615"/>
    <w:rsid w:val="000D3E8F"/>
    <w:rsid w:val="000D42D7"/>
    <w:rsid w:val="000D444E"/>
    <w:rsid w:val="000D4D21"/>
    <w:rsid w:val="000D51E0"/>
    <w:rsid w:val="000D5791"/>
    <w:rsid w:val="000D57AB"/>
    <w:rsid w:val="000D57ED"/>
    <w:rsid w:val="000D5C19"/>
    <w:rsid w:val="000D60E0"/>
    <w:rsid w:val="000D6179"/>
    <w:rsid w:val="000D6820"/>
    <w:rsid w:val="000D71EC"/>
    <w:rsid w:val="000D73F0"/>
    <w:rsid w:val="000D7405"/>
    <w:rsid w:val="000D7878"/>
    <w:rsid w:val="000D7BCB"/>
    <w:rsid w:val="000E003F"/>
    <w:rsid w:val="000E05B7"/>
    <w:rsid w:val="000E0645"/>
    <w:rsid w:val="000E08A8"/>
    <w:rsid w:val="000E0DA0"/>
    <w:rsid w:val="000E0F9E"/>
    <w:rsid w:val="000E12CC"/>
    <w:rsid w:val="000E18AA"/>
    <w:rsid w:val="000E1928"/>
    <w:rsid w:val="000E1E38"/>
    <w:rsid w:val="000E213E"/>
    <w:rsid w:val="000E2190"/>
    <w:rsid w:val="000E27FE"/>
    <w:rsid w:val="000E2AD9"/>
    <w:rsid w:val="000E2EC7"/>
    <w:rsid w:val="000E36F8"/>
    <w:rsid w:val="000E3C63"/>
    <w:rsid w:val="000E4874"/>
    <w:rsid w:val="000E5138"/>
    <w:rsid w:val="000E5B08"/>
    <w:rsid w:val="000E5CA3"/>
    <w:rsid w:val="000E5E17"/>
    <w:rsid w:val="000E60D2"/>
    <w:rsid w:val="000E61E5"/>
    <w:rsid w:val="000E6332"/>
    <w:rsid w:val="000E676D"/>
    <w:rsid w:val="000E689B"/>
    <w:rsid w:val="000E6CC9"/>
    <w:rsid w:val="000E71B1"/>
    <w:rsid w:val="000E75ED"/>
    <w:rsid w:val="000E7740"/>
    <w:rsid w:val="000F0207"/>
    <w:rsid w:val="000F089A"/>
    <w:rsid w:val="000F09B7"/>
    <w:rsid w:val="000F13ED"/>
    <w:rsid w:val="000F1CBF"/>
    <w:rsid w:val="000F2346"/>
    <w:rsid w:val="000F2852"/>
    <w:rsid w:val="000F3835"/>
    <w:rsid w:val="000F3BA9"/>
    <w:rsid w:val="000F3BCB"/>
    <w:rsid w:val="000F3C49"/>
    <w:rsid w:val="000F3D5D"/>
    <w:rsid w:val="000F41E4"/>
    <w:rsid w:val="000F4B47"/>
    <w:rsid w:val="000F4DCF"/>
    <w:rsid w:val="000F4E8E"/>
    <w:rsid w:val="000F52C8"/>
    <w:rsid w:val="000F540A"/>
    <w:rsid w:val="000F57E0"/>
    <w:rsid w:val="000F5CE0"/>
    <w:rsid w:val="000F5DF0"/>
    <w:rsid w:val="000F6174"/>
    <w:rsid w:val="000F62E8"/>
    <w:rsid w:val="000F6661"/>
    <w:rsid w:val="000F688C"/>
    <w:rsid w:val="000F6ECB"/>
    <w:rsid w:val="000F7286"/>
    <w:rsid w:val="000F753E"/>
    <w:rsid w:val="000F7988"/>
    <w:rsid w:val="000F79A2"/>
    <w:rsid w:val="000F7C5B"/>
    <w:rsid w:val="000F7ECB"/>
    <w:rsid w:val="000F7F6B"/>
    <w:rsid w:val="0010003B"/>
    <w:rsid w:val="00100250"/>
    <w:rsid w:val="00100369"/>
    <w:rsid w:val="00100655"/>
    <w:rsid w:val="0010075B"/>
    <w:rsid w:val="00100D32"/>
    <w:rsid w:val="00100E11"/>
    <w:rsid w:val="00101156"/>
    <w:rsid w:val="0010136A"/>
    <w:rsid w:val="0010167F"/>
    <w:rsid w:val="00101CCC"/>
    <w:rsid w:val="00102EBC"/>
    <w:rsid w:val="001034A1"/>
    <w:rsid w:val="00103CBB"/>
    <w:rsid w:val="001044CF"/>
    <w:rsid w:val="00104AFA"/>
    <w:rsid w:val="00105A74"/>
    <w:rsid w:val="00105AD3"/>
    <w:rsid w:val="00105CA7"/>
    <w:rsid w:val="0010685B"/>
    <w:rsid w:val="001069AB"/>
    <w:rsid w:val="00107B42"/>
    <w:rsid w:val="00107B4A"/>
    <w:rsid w:val="00107EFD"/>
    <w:rsid w:val="00107F32"/>
    <w:rsid w:val="00110058"/>
    <w:rsid w:val="00110498"/>
    <w:rsid w:val="00110781"/>
    <w:rsid w:val="00110994"/>
    <w:rsid w:val="00110D48"/>
    <w:rsid w:val="00110F30"/>
    <w:rsid w:val="001127D8"/>
    <w:rsid w:val="001128BF"/>
    <w:rsid w:val="00112EE8"/>
    <w:rsid w:val="00113180"/>
    <w:rsid w:val="00113807"/>
    <w:rsid w:val="00114084"/>
    <w:rsid w:val="001140C6"/>
    <w:rsid w:val="00114BE3"/>
    <w:rsid w:val="0011586C"/>
    <w:rsid w:val="00116700"/>
    <w:rsid w:val="00116AE3"/>
    <w:rsid w:val="00116BCA"/>
    <w:rsid w:val="00116D89"/>
    <w:rsid w:val="001179E5"/>
    <w:rsid w:val="00117B6B"/>
    <w:rsid w:val="0012029E"/>
    <w:rsid w:val="001202EA"/>
    <w:rsid w:val="001204BB"/>
    <w:rsid w:val="001204FE"/>
    <w:rsid w:val="00120CA9"/>
    <w:rsid w:val="00120D84"/>
    <w:rsid w:val="001215BE"/>
    <w:rsid w:val="00121957"/>
    <w:rsid w:val="00121AEF"/>
    <w:rsid w:val="00122327"/>
    <w:rsid w:val="00123C7E"/>
    <w:rsid w:val="00123CC5"/>
    <w:rsid w:val="001240DC"/>
    <w:rsid w:val="00124189"/>
    <w:rsid w:val="00124284"/>
    <w:rsid w:val="0012438E"/>
    <w:rsid w:val="00124984"/>
    <w:rsid w:val="00124ABE"/>
    <w:rsid w:val="00126AE9"/>
    <w:rsid w:val="00126B86"/>
    <w:rsid w:val="00126EAC"/>
    <w:rsid w:val="0012703E"/>
    <w:rsid w:val="00127041"/>
    <w:rsid w:val="001270EC"/>
    <w:rsid w:val="00127177"/>
    <w:rsid w:val="00127740"/>
    <w:rsid w:val="00127F35"/>
    <w:rsid w:val="00130A84"/>
    <w:rsid w:val="00130A86"/>
    <w:rsid w:val="00130A9E"/>
    <w:rsid w:val="00130B45"/>
    <w:rsid w:val="00130BE2"/>
    <w:rsid w:val="0013100A"/>
    <w:rsid w:val="00131334"/>
    <w:rsid w:val="00131417"/>
    <w:rsid w:val="00131B18"/>
    <w:rsid w:val="00131ECF"/>
    <w:rsid w:val="00132148"/>
    <w:rsid w:val="001323EB"/>
    <w:rsid w:val="00132949"/>
    <w:rsid w:val="00132DFF"/>
    <w:rsid w:val="0013300A"/>
    <w:rsid w:val="00133354"/>
    <w:rsid w:val="00133A15"/>
    <w:rsid w:val="00133E11"/>
    <w:rsid w:val="00133EAF"/>
    <w:rsid w:val="00134027"/>
    <w:rsid w:val="00134680"/>
    <w:rsid w:val="00134868"/>
    <w:rsid w:val="001352A4"/>
    <w:rsid w:val="001353C7"/>
    <w:rsid w:val="001354DE"/>
    <w:rsid w:val="00135E62"/>
    <w:rsid w:val="00136211"/>
    <w:rsid w:val="001362B0"/>
    <w:rsid w:val="001375F7"/>
    <w:rsid w:val="00137A85"/>
    <w:rsid w:val="00137E93"/>
    <w:rsid w:val="00137FAB"/>
    <w:rsid w:val="0014009F"/>
    <w:rsid w:val="00140A8D"/>
    <w:rsid w:val="00140E07"/>
    <w:rsid w:val="00141CE9"/>
    <w:rsid w:val="00142595"/>
    <w:rsid w:val="00142705"/>
    <w:rsid w:val="0014286C"/>
    <w:rsid w:val="00142C1B"/>
    <w:rsid w:val="00142CA6"/>
    <w:rsid w:val="00142FFD"/>
    <w:rsid w:val="001442E1"/>
    <w:rsid w:val="001443E6"/>
    <w:rsid w:val="00144486"/>
    <w:rsid w:val="00144A7E"/>
    <w:rsid w:val="00144B58"/>
    <w:rsid w:val="00144E75"/>
    <w:rsid w:val="00144EB7"/>
    <w:rsid w:val="00145C46"/>
    <w:rsid w:val="00145C6E"/>
    <w:rsid w:val="001467C9"/>
    <w:rsid w:val="001467F7"/>
    <w:rsid w:val="00146E6B"/>
    <w:rsid w:val="0014722F"/>
    <w:rsid w:val="0015044A"/>
    <w:rsid w:val="0015078C"/>
    <w:rsid w:val="00150E98"/>
    <w:rsid w:val="0015110C"/>
    <w:rsid w:val="00151719"/>
    <w:rsid w:val="00151895"/>
    <w:rsid w:val="00151CD8"/>
    <w:rsid w:val="00152015"/>
    <w:rsid w:val="001521CB"/>
    <w:rsid w:val="00152633"/>
    <w:rsid w:val="0015370C"/>
    <w:rsid w:val="00153953"/>
    <w:rsid w:val="00154057"/>
    <w:rsid w:val="001543D0"/>
    <w:rsid w:val="001547CE"/>
    <w:rsid w:val="001548CC"/>
    <w:rsid w:val="00154B22"/>
    <w:rsid w:val="0015536B"/>
    <w:rsid w:val="00155CB7"/>
    <w:rsid w:val="00155D36"/>
    <w:rsid w:val="00155F40"/>
    <w:rsid w:val="00155F88"/>
    <w:rsid w:val="001561D8"/>
    <w:rsid w:val="00156980"/>
    <w:rsid w:val="00156AA4"/>
    <w:rsid w:val="00156C77"/>
    <w:rsid w:val="00156F16"/>
    <w:rsid w:val="00157074"/>
    <w:rsid w:val="001571F0"/>
    <w:rsid w:val="001573BD"/>
    <w:rsid w:val="00157867"/>
    <w:rsid w:val="0016008C"/>
    <w:rsid w:val="00160534"/>
    <w:rsid w:val="001607E8"/>
    <w:rsid w:val="001610E9"/>
    <w:rsid w:val="0016115D"/>
    <w:rsid w:val="00161174"/>
    <w:rsid w:val="0016135D"/>
    <w:rsid w:val="0016159D"/>
    <w:rsid w:val="00161B31"/>
    <w:rsid w:val="0016258C"/>
    <w:rsid w:val="00162936"/>
    <w:rsid w:val="00163513"/>
    <w:rsid w:val="001641D2"/>
    <w:rsid w:val="00164241"/>
    <w:rsid w:val="00164643"/>
    <w:rsid w:val="00164CF6"/>
    <w:rsid w:val="0016582C"/>
    <w:rsid w:val="00165FB5"/>
    <w:rsid w:val="001660A5"/>
    <w:rsid w:val="001660B7"/>
    <w:rsid w:val="001665A3"/>
    <w:rsid w:val="00166BD1"/>
    <w:rsid w:val="00166F9B"/>
    <w:rsid w:val="00167AB9"/>
    <w:rsid w:val="00167CF8"/>
    <w:rsid w:val="00167E95"/>
    <w:rsid w:val="00170292"/>
    <w:rsid w:val="001713BF"/>
    <w:rsid w:val="00172505"/>
    <w:rsid w:val="00172763"/>
    <w:rsid w:val="001727B5"/>
    <w:rsid w:val="0017287C"/>
    <w:rsid w:val="00172DFE"/>
    <w:rsid w:val="00172EFF"/>
    <w:rsid w:val="00172FB4"/>
    <w:rsid w:val="00174288"/>
    <w:rsid w:val="001752CF"/>
    <w:rsid w:val="00175781"/>
    <w:rsid w:val="00175C48"/>
    <w:rsid w:val="00176041"/>
    <w:rsid w:val="00177125"/>
    <w:rsid w:val="001775B8"/>
    <w:rsid w:val="0018072A"/>
    <w:rsid w:val="00180B2F"/>
    <w:rsid w:val="00180B8D"/>
    <w:rsid w:val="00180FC9"/>
    <w:rsid w:val="00181041"/>
    <w:rsid w:val="00181CBB"/>
    <w:rsid w:val="00182421"/>
    <w:rsid w:val="0018284F"/>
    <w:rsid w:val="0018326F"/>
    <w:rsid w:val="00183C2B"/>
    <w:rsid w:val="00184070"/>
    <w:rsid w:val="001841D7"/>
    <w:rsid w:val="001844FF"/>
    <w:rsid w:val="00184B72"/>
    <w:rsid w:val="00184E54"/>
    <w:rsid w:val="00184F0C"/>
    <w:rsid w:val="001858BD"/>
    <w:rsid w:val="00185CFC"/>
    <w:rsid w:val="001864E3"/>
    <w:rsid w:val="001866ED"/>
    <w:rsid w:val="00187922"/>
    <w:rsid w:val="00187A43"/>
    <w:rsid w:val="0019027B"/>
    <w:rsid w:val="00190ACF"/>
    <w:rsid w:val="001913A4"/>
    <w:rsid w:val="00191BE3"/>
    <w:rsid w:val="00191CBD"/>
    <w:rsid w:val="00192263"/>
    <w:rsid w:val="001922CD"/>
    <w:rsid w:val="00192405"/>
    <w:rsid w:val="00192A84"/>
    <w:rsid w:val="00193132"/>
    <w:rsid w:val="001936D0"/>
    <w:rsid w:val="0019382E"/>
    <w:rsid w:val="00193F93"/>
    <w:rsid w:val="001944F9"/>
    <w:rsid w:val="00194991"/>
    <w:rsid w:val="00194C59"/>
    <w:rsid w:val="001958CF"/>
    <w:rsid w:val="00195B48"/>
    <w:rsid w:val="0019684B"/>
    <w:rsid w:val="00196BEA"/>
    <w:rsid w:val="00196CA8"/>
    <w:rsid w:val="00196DBD"/>
    <w:rsid w:val="00196FAA"/>
    <w:rsid w:val="001A19E8"/>
    <w:rsid w:val="001A2C33"/>
    <w:rsid w:val="001A35C8"/>
    <w:rsid w:val="001A3796"/>
    <w:rsid w:val="001A3BB8"/>
    <w:rsid w:val="001A45C1"/>
    <w:rsid w:val="001A47A9"/>
    <w:rsid w:val="001A4C06"/>
    <w:rsid w:val="001A4CF5"/>
    <w:rsid w:val="001A4FCA"/>
    <w:rsid w:val="001A564C"/>
    <w:rsid w:val="001A5834"/>
    <w:rsid w:val="001A5B0E"/>
    <w:rsid w:val="001A667D"/>
    <w:rsid w:val="001A7244"/>
    <w:rsid w:val="001B0706"/>
    <w:rsid w:val="001B0CC7"/>
    <w:rsid w:val="001B0F3E"/>
    <w:rsid w:val="001B1A73"/>
    <w:rsid w:val="001B1EEF"/>
    <w:rsid w:val="001B292B"/>
    <w:rsid w:val="001B2F19"/>
    <w:rsid w:val="001B3354"/>
    <w:rsid w:val="001B3620"/>
    <w:rsid w:val="001B3D8E"/>
    <w:rsid w:val="001B3F55"/>
    <w:rsid w:val="001B54D3"/>
    <w:rsid w:val="001B56A7"/>
    <w:rsid w:val="001B5D5B"/>
    <w:rsid w:val="001B63FC"/>
    <w:rsid w:val="001B6CE8"/>
    <w:rsid w:val="001B7A10"/>
    <w:rsid w:val="001C003C"/>
    <w:rsid w:val="001C0599"/>
    <w:rsid w:val="001C05A6"/>
    <w:rsid w:val="001C067F"/>
    <w:rsid w:val="001C07DE"/>
    <w:rsid w:val="001C0DE2"/>
    <w:rsid w:val="001C1D02"/>
    <w:rsid w:val="001C20F4"/>
    <w:rsid w:val="001C3BFD"/>
    <w:rsid w:val="001C3FB0"/>
    <w:rsid w:val="001C40FA"/>
    <w:rsid w:val="001C428B"/>
    <w:rsid w:val="001C4887"/>
    <w:rsid w:val="001C4AD7"/>
    <w:rsid w:val="001C4C79"/>
    <w:rsid w:val="001C55EF"/>
    <w:rsid w:val="001C57BF"/>
    <w:rsid w:val="001C60EB"/>
    <w:rsid w:val="001C6329"/>
    <w:rsid w:val="001C6517"/>
    <w:rsid w:val="001C68EC"/>
    <w:rsid w:val="001C6AAF"/>
    <w:rsid w:val="001C6AF1"/>
    <w:rsid w:val="001C718B"/>
    <w:rsid w:val="001C734B"/>
    <w:rsid w:val="001C770E"/>
    <w:rsid w:val="001D03EB"/>
    <w:rsid w:val="001D0755"/>
    <w:rsid w:val="001D0B6D"/>
    <w:rsid w:val="001D0BE9"/>
    <w:rsid w:val="001D101F"/>
    <w:rsid w:val="001D1056"/>
    <w:rsid w:val="001D1276"/>
    <w:rsid w:val="001D1344"/>
    <w:rsid w:val="001D1DBD"/>
    <w:rsid w:val="001D2286"/>
    <w:rsid w:val="001D2837"/>
    <w:rsid w:val="001D329E"/>
    <w:rsid w:val="001D371C"/>
    <w:rsid w:val="001D3F36"/>
    <w:rsid w:val="001D4108"/>
    <w:rsid w:val="001D47CE"/>
    <w:rsid w:val="001D4814"/>
    <w:rsid w:val="001D48E2"/>
    <w:rsid w:val="001D4B04"/>
    <w:rsid w:val="001D4EE7"/>
    <w:rsid w:val="001D5167"/>
    <w:rsid w:val="001D5EA3"/>
    <w:rsid w:val="001D615E"/>
    <w:rsid w:val="001D645C"/>
    <w:rsid w:val="001D67D0"/>
    <w:rsid w:val="001D6AF9"/>
    <w:rsid w:val="001D6CBB"/>
    <w:rsid w:val="001D6EBB"/>
    <w:rsid w:val="001D6F7A"/>
    <w:rsid w:val="001D739C"/>
    <w:rsid w:val="001D7586"/>
    <w:rsid w:val="001D7615"/>
    <w:rsid w:val="001D76A7"/>
    <w:rsid w:val="001D7801"/>
    <w:rsid w:val="001D791C"/>
    <w:rsid w:val="001D7AAE"/>
    <w:rsid w:val="001E039F"/>
    <w:rsid w:val="001E044D"/>
    <w:rsid w:val="001E068C"/>
    <w:rsid w:val="001E0AAE"/>
    <w:rsid w:val="001E1116"/>
    <w:rsid w:val="001E1381"/>
    <w:rsid w:val="001E18D6"/>
    <w:rsid w:val="001E1D12"/>
    <w:rsid w:val="001E2320"/>
    <w:rsid w:val="001E3819"/>
    <w:rsid w:val="001E4442"/>
    <w:rsid w:val="001E4528"/>
    <w:rsid w:val="001E4FF0"/>
    <w:rsid w:val="001E5411"/>
    <w:rsid w:val="001E5587"/>
    <w:rsid w:val="001E5625"/>
    <w:rsid w:val="001E578F"/>
    <w:rsid w:val="001E6060"/>
    <w:rsid w:val="001E6D93"/>
    <w:rsid w:val="001E716F"/>
    <w:rsid w:val="001E736E"/>
    <w:rsid w:val="001E7A11"/>
    <w:rsid w:val="001E7C02"/>
    <w:rsid w:val="001E7E97"/>
    <w:rsid w:val="001E7FAE"/>
    <w:rsid w:val="001E7FC4"/>
    <w:rsid w:val="001F05CE"/>
    <w:rsid w:val="001F0D0B"/>
    <w:rsid w:val="001F0EA9"/>
    <w:rsid w:val="001F15FA"/>
    <w:rsid w:val="001F1E7F"/>
    <w:rsid w:val="001F2421"/>
    <w:rsid w:val="001F28E4"/>
    <w:rsid w:val="001F3857"/>
    <w:rsid w:val="001F39F9"/>
    <w:rsid w:val="001F485A"/>
    <w:rsid w:val="001F495E"/>
    <w:rsid w:val="001F4DB7"/>
    <w:rsid w:val="001F5CE9"/>
    <w:rsid w:val="001F6013"/>
    <w:rsid w:val="001F662D"/>
    <w:rsid w:val="001F6DC3"/>
    <w:rsid w:val="001F717D"/>
    <w:rsid w:val="001F73BE"/>
    <w:rsid w:val="00200718"/>
    <w:rsid w:val="00200852"/>
    <w:rsid w:val="002009D9"/>
    <w:rsid w:val="002011D8"/>
    <w:rsid w:val="002011EA"/>
    <w:rsid w:val="00201250"/>
    <w:rsid w:val="0020128E"/>
    <w:rsid w:val="00201703"/>
    <w:rsid w:val="00201B98"/>
    <w:rsid w:val="002020A4"/>
    <w:rsid w:val="0020263E"/>
    <w:rsid w:val="00202688"/>
    <w:rsid w:val="00203297"/>
    <w:rsid w:val="002033E8"/>
    <w:rsid w:val="00203945"/>
    <w:rsid w:val="00204116"/>
    <w:rsid w:val="00204D3C"/>
    <w:rsid w:val="002050F9"/>
    <w:rsid w:val="0020557C"/>
    <w:rsid w:val="00205941"/>
    <w:rsid w:val="00205F51"/>
    <w:rsid w:val="002063B0"/>
    <w:rsid w:val="00206546"/>
    <w:rsid w:val="00206DB6"/>
    <w:rsid w:val="00206FFD"/>
    <w:rsid w:val="00207012"/>
    <w:rsid w:val="00207365"/>
    <w:rsid w:val="00207504"/>
    <w:rsid w:val="0020753A"/>
    <w:rsid w:val="00207ED1"/>
    <w:rsid w:val="002100BD"/>
    <w:rsid w:val="002102D5"/>
    <w:rsid w:val="002103A5"/>
    <w:rsid w:val="0021040C"/>
    <w:rsid w:val="002109F4"/>
    <w:rsid w:val="00211B66"/>
    <w:rsid w:val="00211CD5"/>
    <w:rsid w:val="00211FC7"/>
    <w:rsid w:val="00212247"/>
    <w:rsid w:val="002124AB"/>
    <w:rsid w:val="00212B6A"/>
    <w:rsid w:val="00212E8C"/>
    <w:rsid w:val="00212F12"/>
    <w:rsid w:val="0021300F"/>
    <w:rsid w:val="002132B7"/>
    <w:rsid w:val="00214082"/>
    <w:rsid w:val="0021440F"/>
    <w:rsid w:val="0021486E"/>
    <w:rsid w:val="00214C3B"/>
    <w:rsid w:val="002150BF"/>
    <w:rsid w:val="00215507"/>
    <w:rsid w:val="00215537"/>
    <w:rsid w:val="00215629"/>
    <w:rsid w:val="0021564C"/>
    <w:rsid w:val="00215918"/>
    <w:rsid w:val="00215A44"/>
    <w:rsid w:val="00215FB1"/>
    <w:rsid w:val="002161A1"/>
    <w:rsid w:val="002166DC"/>
    <w:rsid w:val="002167AD"/>
    <w:rsid w:val="00216AED"/>
    <w:rsid w:val="00217353"/>
    <w:rsid w:val="002173AF"/>
    <w:rsid w:val="002176A7"/>
    <w:rsid w:val="002202F4"/>
    <w:rsid w:val="002206A1"/>
    <w:rsid w:val="00220853"/>
    <w:rsid w:val="00220FDD"/>
    <w:rsid w:val="00221BD6"/>
    <w:rsid w:val="00221CF1"/>
    <w:rsid w:val="0022272E"/>
    <w:rsid w:val="002227CE"/>
    <w:rsid w:val="00222F64"/>
    <w:rsid w:val="0022337D"/>
    <w:rsid w:val="00223810"/>
    <w:rsid w:val="00223D0C"/>
    <w:rsid w:val="00224329"/>
    <w:rsid w:val="002244A4"/>
    <w:rsid w:val="00224917"/>
    <w:rsid w:val="00224B64"/>
    <w:rsid w:val="0022524D"/>
    <w:rsid w:val="002252AC"/>
    <w:rsid w:val="00225770"/>
    <w:rsid w:val="00225C3B"/>
    <w:rsid w:val="00225E00"/>
    <w:rsid w:val="002262E1"/>
    <w:rsid w:val="00226953"/>
    <w:rsid w:val="00227076"/>
    <w:rsid w:val="002272C0"/>
    <w:rsid w:val="002277C2"/>
    <w:rsid w:val="00227AE2"/>
    <w:rsid w:val="00227CD0"/>
    <w:rsid w:val="0023020F"/>
    <w:rsid w:val="00230336"/>
    <w:rsid w:val="002308CF"/>
    <w:rsid w:val="00231874"/>
    <w:rsid w:val="00231EA6"/>
    <w:rsid w:val="00231F2C"/>
    <w:rsid w:val="0023305F"/>
    <w:rsid w:val="002332BA"/>
    <w:rsid w:val="0023454B"/>
    <w:rsid w:val="00234A59"/>
    <w:rsid w:val="00234D12"/>
    <w:rsid w:val="00234DB1"/>
    <w:rsid w:val="002355DC"/>
    <w:rsid w:val="002364EF"/>
    <w:rsid w:val="002367B5"/>
    <w:rsid w:val="00236F5B"/>
    <w:rsid w:val="002370F4"/>
    <w:rsid w:val="00237910"/>
    <w:rsid w:val="00237BD4"/>
    <w:rsid w:val="00240198"/>
    <w:rsid w:val="00240420"/>
    <w:rsid w:val="002406DE"/>
    <w:rsid w:val="002412D6"/>
    <w:rsid w:val="00241451"/>
    <w:rsid w:val="002416CC"/>
    <w:rsid w:val="002418BB"/>
    <w:rsid w:val="00241EC8"/>
    <w:rsid w:val="002431CD"/>
    <w:rsid w:val="00243468"/>
    <w:rsid w:val="002436E4"/>
    <w:rsid w:val="002442B6"/>
    <w:rsid w:val="00244380"/>
    <w:rsid w:val="002443E3"/>
    <w:rsid w:val="00244C64"/>
    <w:rsid w:val="00244C7B"/>
    <w:rsid w:val="00245517"/>
    <w:rsid w:val="00245AA1"/>
    <w:rsid w:val="00245B37"/>
    <w:rsid w:val="00246C02"/>
    <w:rsid w:val="00246FAC"/>
    <w:rsid w:val="00247CCE"/>
    <w:rsid w:val="00247CDA"/>
    <w:rsid w:val="00247EA3"/>
    <w:rsid w:val="002506FE"/>
    <w:rsid w:val="00250AD0"/>
    <w:rsid w:val="00250D08"/>
    <w:rsid w:val="0025130D"/>
    <w:rsid w:val="002517D2"/>
    <w:rsid w:val="002520AF"/>
    <w:rsid w:val="002528DC"/>
    <w:rsid w:val="00252AA3"/>
    <w:rsid w:val="00252BF0"/>
    <w:rsid w:val="00252D1F"/>
    <w:rsid w:val="00252EE5"/>
    <w:rsid w:val="0025326B"/>
    <w:rsid w:val="0025344A"/>
    <w:rsid w:val="002539EF"/>
    <w:rsid w:val="00253F09"/>
    <w:rsid w:val="002541D7"/>
    <w:rsid w:val="00254250"/>
    <w:rsid w:val="0025457C"/>
    <w:rsid w:val="00254C75"/>
    <w:rsid w:val="00254CC5"/>
    <w:rsid w:val="00256057"/>
    <w:rsid w:val="00256187"/>
    <w:rsid w:val="00256B83"/>
    <w:rsid w:val="00256E8E"/>
    <w:rsid w:val="00256F12"/>
    <w:rsid w:val="00257826"/>
    <w:rsid w:val="002578E3"/>
    <w:rsid w:val="00257F7C"/>
    <w:rsid w:val="00260844"/>
    <w:rsid w:val="002608C7"/>
    <w:rsid w:val="002609A6"/>
    <w:rsid w:val="00260E8E"/>
    <w:rsid w:val="00261C3C"/>
    <w:rsid w:val="00261CD6"/>
    <w:rsid w:val="00261F62"/>
    <w:rsid w:val="00262748"/>
    <w:rsid w:val="002629AC"/>
    <w:rsid w:val="00262C5F"/>
    <w:rsid w:val="00262DAA"/>
    <w:rsid w:val="0026303B"/>
    <w:rsid w:val="00263B1B"/>
    <w:rsid w:val="00264461"/>
    <w:rsid w:val="00264920"/>
    <w:rsid w:val="00264A24"/>
    <w:rsid w:val="00264AD0"/>
    <w:rsid w:val="00264B17"/>
    <w:rsid w:val="00264CC5"/>
    <w:rsid w:val="00264E7F"/>
    <w:rsid w:val="00265161"/>
    <w:rsid w:val="00265825"/>
    <w:rsid w:val="002668EC"/>
    <w:rsid w:val="00266C3A"/>
    <w:rsid w:val="0026725D"/>
    <w:rsid w:val="0026777E"/>
    <w:rsid w:val="00267F28"/>
    <w:rsid w:val="00267FB3"/>
    <w:rsid w:val="002708DE"/>
    <w:rsid w:val="00271125"/>
    <w:rsid w:val="00271722"/>
    <w:rsid w:val="00271AAD"/>
    <w:rsid w:val="00272170"/>
    <w:rsid w:val="002721D9"/>
    <w:rsid w:val="00272CD5"/>
    <w:rsid w:val="00272D06"/>
    <w:rsid w:val="00272F4A"/>
    <w:rsid w:val="002734F0"/>
    <w:rsid w:val="002741B4"/>
    <w:rsid w:val="0027458D"/>
    <w:rsid w:val="00274728"/>
    <w:rsid w:val="0027599B"/>
    <w:rsid w:val="00276058"/>
    <w:rsid w:val="00276064"/>
    <w:rsid w:val="0027639C"/>
    <w:rsid w:val="002764D0"/>
    <w:rsid w:val="00276A95"/>
    <w:rsid w:val="00276B83"/>
    <w:rsid w:val="00276B89"/>
    <w:rsid w:val="00276C2D"/>
    <w:rsid w:val="0027709C"/>
    <w:rsid w:val="0027712D"/>
    <w:rsid w:val="00277237"/>
    <w:rsid w:val="002773D9"/>
    <w:rsid w:val="002774E8"/>
    <w:rsid w:val="002776E0"/>
    <w:rsid w:val="002776EA"/>
    <w:rsid w:val="0028019D"/>
    <w:rsid w:val="0028053A"/>
    <w:rsid w:val="002807BA"/>
    <w:rsid w:val="00281146"/>
    <w:rsid w:val="0028175F"/>
    <w:rsid w:val="002819B8"/>
    <w:rsid w:val="00281D9A"/>
    <w:rsid w:val="00282501"/>
    <w:rsid w:val="00282955"/>
    <w:rsid w:val="00283379"/>
    <w:rsid w:val="002834B8"/>
    <w:rsid w:val="00283992"/>
    <w:rsid w:val="002839C9"/>
    <w:rsid w:val="00283E56"/>
    <w:rsid w:val="002844CB"/>
    <w:rsid w:val="00284A01"/>
    <w:rsid w:val="00284CA6"/>
    <w:rsid w:val="002851EC"/>
    <w:rsid w:val="00285504"/>
    <w:rsid w:val="00285A90"/>
    <w:rsid w:val="00285BCD"/>
    <w:rsid w:val="00285EAA"/>
    <w:rsid w:val="0028661E"/>
    <w:rsid w:val="00286A9A"/>
    <w:rsid w:val="002872FF"/>
    <w:rsid w:val="002878E6"/>
    <w:rsid w:val="00287BAD"/>
    <w:rsid w:val="00287C99"/>
    <w:rsid w:val="00287CC7"/>
    <w:rsid w:val="00287E00"/>
    <w:rsid w:val="002903A3"/>
    <w:rsid w:val="002919B1"/>
    <w:rsid w:val="00291D47"/>
    <w:rsid w:val="00291D8D"/>
    <w:rsid w:val="00291F1E"/>
    <w:rsid w:val="00292690"/>
    <w:rsid w:val="00292879"/>
    <w:rsid w:val="00292A03"/>
    <w:rsid w:val="00292D0C"/>
    <w:rsid w:val="0029319D"/>
    <w:rsid w:val="002940C0"/>
    <w:rsid w:val="002944EC"/>
    <w:rsid w:val="00294596"/>
    <w:rsid w:val="00294F01"/>
    <w:rsid w:val="0029527C"/>
    <w:rsid w:val="00295453"/>
    <w:rsid w:val="002954EE"/>
    <w:rsid w:val="0029582F"/>
    <w:rsid w:val="00295FF8"/>
    <w:rsid w:val="00296090"/>
    <w:rsid w:val="0029636D"/>
    <w:rsid w:val="0029648C"/>
    <w:rsid w:val="002967F1"/>
    <w:rsid w:val="002968E3"/>
    <w:rsid w:val="002968F8"/>
    <w:rsid w:val="002969B3"/>
    <w:rsid w:val="0029750D"/>
    <w:rsid w:val="002A0846"/>
    <w:rsid w:val="002A093D"/>
    <w:rsid w:val="002A109F"/>
    <w:rsid w:val="002A14B8"/>
    <w:rsid w:val="002A1613"/>
    <w:rsid w:val="002A190E"/>
    <w:rsid w:val="002A2012"/>
    <w:rsid w:val="002A2582"/>
    <w:rsid w:val="002A2625"/>
    <w:rsid w:val="002A273A"/>
    <w:rsid w:val="002A2CCE"/>
    <w:rsid w:val="002A2DD6"/>
    <w:rsid w:val="002A2F1E"/>
    <w:rsid w:val="002A2F82"/>
    <w:rsid w:val="002A336D"/>
    <w:rsid w:val="002A39AC"/>
    <w:rsid w:val="002A39B1"/>
    <w:rsid w:val="002A414F"/>
    <w:rsid w:val="002A42CA"/>
    <w:rsid w:val="002A5188"/>
    <w:rsid w:val="002A5328"/>
    <w:rsid w:val="002A535A"/>
    <w:rsid w:val="002A5392"/>
    <w:rsid w:val="002A5568"/>
    <w:rsid w:val="002A6368"/>
    <w:rsid w:val="002A686B"/>
    <w:rsid w:val="002A694A"/>
    <w:rsid w:val="002A6DC7"/>
    <w:rsid w:val="002B030D"/>
    <w:rsid w:val="002B05D5"/>
    <w:rsid w:val="002B0A97"/>
    <w:rsid w:val="002B18F3"/>
    <w:rsid w:val="002B1A9F"/>
    <w:rsid w:val="002B1C92"/>
    <w:rsid w:val="002B2021"/>
    <w:rsid w:val="002B2B43"/>
    <w:rsid w:val="002B3292"/>
    <w:rsid w:val="002B34AE"/>
    <w:rsid w:val="002B374F"/>
    <w:rsid w:val="002B3B22"/>
    <w:rsid w:val="002B3FE4"/>
    <w:rsid w:val="002B49B9"/>
    <w:rsid w:val="002B49D4"/>
    <w:rsid w:val="002B4BBD"/>
    <w:rsid w:val="002B5379"/>
    <w:rsid w:val="002B5F4A"/>
    <w:rsid w:val="002B6061"/>
    <w:rsid w:val="002B7214"/>
    <w:rsid w:val="002B75E3"/>
    <w:rsid w:val="002B78E4"/>
    <w:rsid w:val="002B7E1E"/>
    <w:rsid w:val="002C0405"/>
    <w:rsid w:val="002C0C61"/>
    <w:rsid w:val="002C0DE8"/>
    <w:rsid w:val="002C0FFC"/>
    <w:rsid w:val="002C11AC"/>
    <w:rsid w:val="002C15B3"/>
    <w:rsid w:val="002C1B6C"/>
    <w:rsid w:val="002C206C"/>
    <w:rsid w:val="002C2E50"/>
    <w:rsid w:val="002C35C4"/>
    <w:rsid w:val="002C3D75"/>
    <w:rsid w:val="002C3E74"/>
    <w:rsid w:val="002C3F3F"/>
    <w:rsid w:val="002C4447"/>
    <w:rsid w:val="002C44BA"/>
    <w:rsid w:val="002C4ABE"/>
    <w:rsid w:val="002C5582"/>
    <w:rsid w:val="002C5805"/>
    <w:rsid w:val="002C58B3"/>
    <w:rsid w:val="002C58F1"/>
    <w:rsid w:val="002C595A"/>
    <w:rsid w:val="002C5EE7"/>
    <w:rsid w:val="002C6076"/>
    <w:rsid w:val="002C66AB"/>
    <w:rsid w:val="002C67C9"/>
    <w:rsid w:val="002C6BF6"/>
    <w:rsid w:val="002C70E0"/>
    <w:rsid w:val="002C70E4"/>
    <w:rsid w:val="002C783E"/>
    <w:rsid w:val="002C78B3"/>
    <w:rsid w:val="002C7DE1"/>
    <w:rsid w:val="002D0274"/>
    <w:rsid w:val="002D04CE"/>
    <w:rsid w:val="002D109E"/>
    <w:rsid w:val="002D1C2E"/>
    <w:rsid w:val="002D217A"/>
    <w:rsid w:val="002D22B7"/>
    <w:rsid w:val="002D239F"/>
    <w:rsid w:val="002D24C7"/>
    <w:rsid w:val="002D269C"/>
    <w:rsid w:val="002D26E7"/>
    <w:rsid w:val="002D2C28"/>
    <w:rsid w:val="002D2DCB"/>
    <w:rsid w:val="002D31BD"/>
    <w:rsid w:val="002D383C"/>
    <w:rsid w:val="002D3C1C"/>
    <w:rsid w:val="002D4468"/>
    <w:rsid w:val="002D4A22"/>
    <w:rsid w:val="002D4BC8"/>
    <w:rsid w:val="002D4E4C"/>
    <w:rsid w:val="002D5770"/>
    <w:rsid w:val="002D5841"/>
    <w:rsid w:val="002D59EE"/>
    <w:rsid w:val="002D5F5A"/>
    <w:rsid w:val="002D6080"/>
    <w:rsid w:val="002D6304"/>
    <w:rsid w:val="002D6378"/>
    <w:rsid w:val="002D6517"/>
    <w:rsid w:val="002D67F1"/>
    <w:rsid w:val="002D68E0"/>
    <w:rsid w:val="002D6D54"/>
    <w:rsid w:val="002D6DCA"/>
    <w:rsid w:val="002D6EE2"/>
    <w:rsid w:val="002D6FAC"/>
    <w:rsid w:val="002D7816"/>
    <w:rsid w:val="002D79D0"/>
    <w:rsid w:val="002D7D87"/>
    <w:rsid w:val="002D7DFE"/>
    <w:rsid w:val="002D7E73"/>
    <w:rsid w:val="002E0140"/>
    <w:rsid w:val="002E02D6"/>
    <w:rsid w:val="002E0382"/>
    <w:rsid w:val="002E0FD2"/>
    <w:rsid w:val="002E119B"/>
    <w:rsid w:val="002E14AA"/>
    <w:rsid w:val="002E1553"/>
    <w:rsid w:val="002E1B62"/>
    <w:rsid w:val="002E1BDD"/>
    <w:rsid w:val="002E20F1"/>
    <w:rsid w:val="002E347A"/>
    <w:rsid w:val="002E3C97"/>
    <w:rsid w:val="002E3FFE"/>
    <w:rsid w:val="002E40F7"/>
    <w:rsid w:val="002E491C"/>
    <w:rsid w:val="002E6254"/>
    <w:rsid w:val="002E6694"/>
    <w:rsid w:val="002E66A7"/>
    <w:rsid w:val="002E67BA"/>
    <w:rsid w:val="002E6C65"/>
    <w:rsid w:val="002E71CE"/>
    <w:rsid w:val="002E7208"/>
    <w:rsid w:val="002E7E5C"/>
    <w:rsid w:val="002F05DB"/>
    <w:rsid w:val="002F069A"/>
    <w:rsid w:val="002F08AE"/>
    <w:rsid w:val="002F09FF"/>
    <w:rsid w:val="002F17F0"/>
    <w:rsid w:val="002F181A"/>
    <w:rsid w:val="002F181F"/>
    <w:rsid w:val="002F18AE"/>
    <w:rsid w:val="002F19B4"/>
    <w:rsid w:val="002F1A23"/>
    <w:rsid w:val="002F1C55"/>
    <w:rsid w:val="002F243B"/>
    <w:rsid w:val="002F24ED"/>
    <w:rsid w:val="002F250C"/>
    <w:rsid w:val="002F280E"/>
    <w:rsid w:val="002F2A6D"/>
    <w:rsid w:val="002F2E40"/>
    <w:rsid w:val="002F3281"/>
    <w:rsid w:val="002F35B4"/>
    <w:rsid w:val="002F4105"/>
    <w:rsid w:val="002F47E6"/>
    <w:rsid w:val="002F50E3"/>
    <w:rsid w:val="002F5110"/>
    <w:rsid w:val="002F5C41"/>
    <w:rsid w:val="002F5F24"/>
    <w:rsid w:val="002F68A3"/>
    <w:rsid w:val="002F6EDC"/>
    <w:rsid w:val="002F708C"/>
    <w:rsid w:val="002F7737"/>
    <w:rsid w:val="003002B4"/>
    <w:rsid w:val="00300747"/>
    <w:rsid w:val="00300ACE"/>
    <w:rsid w:val="00300C6F"/>
    <w:rsid w:val="00300D4C"/>
    <w:rsid w:val="00300FD9"/>
    <w:rsid w:val="00301033"/>
    <w:rsid w:val="003012BF"/>
    <w:rsid w:val="003012F7"/>
    <w:rsid w:val="00301723"/>
    <w:rsid w:val="0030191E"/>
    <w:rsid w:val="00301A64"/>
    <w:rsid w:val="00302194"/>
    <w:rsid w:val="0030221A"/>
    <w:rsid w:val="003023F6"/>
    <w:rsid w:val="003028CF"/>
    <w:rsid w:val="00303149"/>
    <w:rsid w:val="00303162"/>
    <w:rsid w:val="003035E1"/>
    <w:rsid w:val="00303729"/>
    <w:rsid w:val="00303BB3"/>
    <w:rsid w:val="00303D11"/>
    <w:rsid w:val="00303DAD"/>
    <w:rsid w:val="003041C9"/>
    <w:rsid w:val="00304419"/>
    <w:rsid w:val="0030466B"/>
    <w:rsid w:val="003046C5"/>
    <w:rsid w:val="003047C7"/>
    <w:rsid w:val="00304E06"/>
    <w:rsid w:val="00304F00"/>
    <w:rsid w:val="003055E9"/>
    <w:rsid w:val="00306663"/>
    <w:rsid w:val="00306D0D"/>
    <w:rsid w:val="00306D89"/>
    <w:rsid w:val="00307784"/>
    <w:rsid w:val="00307B51"/>
    <w:rsid w:val="003103F5"/>
    <w:rsid w:val="00310F88"/>
    <w:rsid w:val="003113EB"/>
    <w:rsid w:val="003114CC"/>
    <w:rsid w:val="00311BF6"/>
    <w:rsid w:val="0031219A"/>
    <w:rsid w:val="003123C1"/>
    <w:rsid w:val="00312A4C"/>
    <w:rsid w:val="00312AC7"/>
    <w:rsid w:val="00312F24"/>
    <w:rsid w:val="003139B3"/>
    <w:rsid w:val="00313C1A"/>
    <w:rsid w:val="0031425F"/>
    <w:rsid w:val="00314D68"/>
    <w:rsid w:val="00314DAE"/>
    <w:rsid w:val="00314F68"/>
    <w:rsid w:val="003151D7"/>
    <w:rsid w:val="00315C64"/>
    <w:rsid w:val="00316459"/>
    <w:rsid w:val="00316BB0"/>
    <w:rsid w:val="00316BF2"/>
    <w:rsid w:val="00316D01"/>
    <w:rsid w:val="0031707D"/>
    <w:rsid w:val="003170B9"/>
    <w:rsid w:val="003203F5"/>
    <w:rsid w:val="0032085A"/>
    <w:rsid w:val="00320886"/>
    <w:rsid w:val="0032099B"/>
    <w:rsid w:val="00320ABC"/>
    <w:rsid w:val="00320AD5"/>
    <w:rsid w:val="00320ED2"/>
    <w:rsid w:val="0032105D"/>
    <w:rsid w:val="00321917"/>
    <w:rsid w:val="00321DB5"/>
    <w:rsid w:val="003222FC"/>
    <w:rsid w:val="003223E9"/>
    <w:rsid w:val="003225F8"/>
    <w:rsid w:val="0032281B"/>
    <w:rsid w:val="00322959"/>
    <w:rsid w:val="00322C62"/>
    <w:rsid w:val="00323280"/>
    <w:rsid w:val="003247AD"/>
    <w:rsid w:val="0032489D"/>
    <w:rsid w:val="003248AC"/>
    <w:rsid w:val="00324F14"/>
    <w:rsid w:val="00325039"/>
    <w:rsid w:val="0032540C"/>
    <w:rsid w:val="003260DD"/>
    <w:rsid w:val="0032722B"/>
    <w:rsid w:val="003272CB"/>
    <w:rsid w:val="0032795B"/>
    <w:rsid w:val="003306E1"/>
    <w:rsid w:val="00331764"/>
    <w:rsid w:val="003317DD"/>
    <w:rsid w:val="003321A4"/>
    <w:rsid w:val="003327E8"/>
    <w:rsid w:val="00333B6A"/>
    <w:rsid w:val="003343A0"/>
    <w:rsid w:val="00334F3E"/>
    <w:rsid w:val="0033550B"/>
    <w:rsid w:val="003361FA"/>
    <w:rsid w:val="0033620C"/>
    <w:rsid w:val="003362E9"/>
    <w:rsid w:val="00336E11"/>
    <w:rsid w:val="00337052"/>
    <w:rsid w:val="00337177"/>
    <w:rsid w:val="0033743D"/>
    <w:rsid w:val="003377DB"/>
    <w:rsid w:val="00337810"/>
    <w:rsid w:val="00337B7C"/>
    <w:rsid w:val="00340FC3"/>
    <w:rsid w:val="00341406"/>
    <w:rsid w:val="003421D3"/>
    <w:rsid w:val="00342DE8"/>
    <w:rsid w:val="00343472"/>
    <w:rsid w:val="00343C72"/>
    <w:rsid w:val="00345438"/>
    <w:rsid w:val="00345551"/>
    <w:rsid w:val="003458A8"/>
    <w:rsid w:val="00345A75"/>
    <w:rsid w:val="00345DD0"/>
    <w:rsid w:val="00345EE7"/>
    <w:rsid w:val="00346234"/>
    <w:rsid w:val="003462F8"/>
    <w:rsid w:val="00346CBE"/>
    <w:rsid w:val="00346DD9"/>
    <w:rsid w:val="00346EF8"/>
    <w:rsid w:val="00346FF9"/>
    <w:rsid w:val="003470A3"/>
    <w:rsid w:val="00347E91"/>
    <w:rsid w:val="00350408"/>
    <w:rsid w:val="003506B1"/>
    <w:rsid w:val="00350B02"/>
    <w:rsid w:val="00351390"/>
    <w:rsid w:val="0035188F"/>
    <w:rsid w:val="003524C8"/>
    <w:rsid w:val="00352DFB"/>
    <w:rsid w:val="003533DE"/>
    <w:rsid w:val="003537F5"/>
    <w:rsid w:val="00353F1B"/>
    <w:rsid w:val="00353F65"/>
    <w:rsid w:val="00353F9C"/>
    <w:rsid w:val="00353FA2"/>
    <w:rsid w:val="00353FED"/>
    <w:rsid w:val="0035408D"/>
    <w:rsid w:val="0035417C"/>
    <w:rsid w:val="00354BCD"/>
    <w:rsid w:val="0035541D"/>
    <w:rsid w:val="00355F63"/>
    <w:rsid w:val="00356028"/>
    <w:rsid w:val="003564B7"/>
    <w:rsid w:val="00356D14"/>
    <w:rsid w:val="00356D65"/>
    <w:rsid w:val="00356D7D"/>
    <w:rsid w:val="00356EA5"/>
    <w:rsid w:val="00357206"/>
    <w:rsid w:val="00360A08"/>
    <w:rsid w:val="00360B88"/>
    <w:rsid w:val="00360BE6"/>
    <w:rsid w:val="00360C02"/>
    <w:rsid w:val="00360CB2"/>
    <w:rsid w:val="00360FC0"/>
    <w:rsid w:val="00361133"/>
    <w:rsid w:val="0036181E"/>
    <w:rsid w:val="00361AC2"/>
    <w:rsid w:val="00361D35"/>
    <w:rsid w:val="00362AF2"/>
    <w:rsid w:val="003630A5"/>
    <w:rsid w:val="00363A7D"/>
    <w:rsid w:val="00363B8D"/>
    <w:rsid w:val="003640E0"/>
    <w:rsid w:val="0036416D"/>
    <w:rsid w:val="003641FA"/>
    <w:rsid w:val="00364C09"/>
    <w:rsid w:val="00364C7D"/>
    <w:rsid w:val="003651B8"/>
    <w:rsid w:val="00365BDD"/>
    <w:rsid w:val="0036709B"/>
    <w:rsid w:val="00367316"/>
    <w:rsid w:val="0036738D"/>
    <w:rsid w:val="00367474"/>
    <w:rsid w:val="003674C9"/>
    <w:rsid w:val="003676B3"/>
    <w:rsid w:val="00367F24"/>
    <w:rsid w:val="0037014B"/>
    <w:rsid w:val="00370175"/>
    <w:rsid w:val="003703F5"/>
    <w:rsid w:val="0037070A"/>
    <w:rsid w:val="003707D4"/>
    <w:rsid w:val="00370D3A"/>
    <w:rsid w:val="00370DCD"/>
    <w:rsid w:val="00371534"/>
    <w:rsid w:val="0037161C"/>
    <w:rsid w:val="003718FD"/>
    <w:rsid w:val="0037197B"/>
    <w:rsid w:val="00371B59"/>
    <w:rsid w:val="00371B7A"/>
    <w:rsid w:val="00372C01"/>
    <w:rsid w:val="00372CED"/>
    <w:rsid w:val="00372FF6"/>
    <w:rsid w:val="00373264"/>
    <w:rsid w:val="00373687"/>
    <w:rsid w:val="003736C8"/>
    <w:rsid w:val="00373832"/>
    <w:rsid w:val="00373ACC"/>
    <w:rsid w:val="0037420C"/>
    <w:rsid w:val="0037459D"/>
    <w:rsid w:val="0037484A"/>
    <w:rsid w:val="003750CC"/>
    <w:rsid w:val="0037533A"/>
    <w:rsid w:val="003758A5"/>
    <w:rsid w:val="0037592F"/>
    <w:rsid w:val="00375A54"/>
    <w:rsid w:val="00375D26"/>
    <w:rsid w:val="00375F8B"/>
    <w:rsid w:val="00376039"/>
    <w:rsid w:val="003762D2"/>
    <w:rsid w:val="00376610"/>
    <w:rsid w:val="00376701"/>
    <w:rsid w:val="00376E56"/>
    <w:rsid w:val="00377101"/>
    <w:rsid w:val="003773C2"/>
    <w:rsid w:val="00377496"/>
    <w:rsid w:val="003775E0"/>
    <w:rsid w:val="00377961"/>
    <w:rsid w:val="0037799C"/>
    <w:rsid w:val="00377F4F"/>
    <w:rsid w:val="003801A3"/>
    <w:rsid w:val="00380269"/>
    <w:rsid w:val="00380333"/>
    <w:rsid w:val="0038096D"/>
    <w:rsid w:val="0038107F"/>
    <w:rsid w:val="00381324"/>
    <w:rsid w:val="00382065"/>
    <w:rsid w:val="0038246D"/>
    <w:rsid w:val="00382578"/>
    <w:rsid w:val="0038286E"/>
    <w:rsid w:val="003830F6"/>
    <w:rsid w:val="003831A5"/>
    <w:rsid w:val="00384662"/>
    <w:rsid w:val="003846BB"/>
    <w:rsid w:val="003846F2"/>
    <w:rsid w:val="00384D72"/>
    <w:rsid w:val="00384DBD"/>
    <w:rsid w:val="003853E8"/>
    <w:rsid w:val="00386151"/>
    <w:rsid w:val="0038625A"/>
    <w:rsid w:val="0038682C"/>
    <w:rsid w:val="00386F8B"/>
    <w:rsid w:val="00386F97"/>
    <w:rsid w:val="003873BD"/>
    <w:rsid w:val="0038797F"/>
    <w:rsid w:val="003907D7"/>
    <w:rsid w:val="00391258"/>
    <w:rsid w:val="00391A08"/>
    <w:rsid w:val="00391BAE"/>
    <w:rsid w:val="00391BDF"/>
    <w:rsid w:val="00392474"/>
    <w:rsid w:val="003925D4"/>
    <w:rsid w:val="00392E90"/>
    <w:rsid w:val="00392FF8"/>
    <w:rsid w:val="003934B0"/>
    <w:rsid w:val="003935E7"/>
    <w:rsid w:val="00393E20"/>
    <w:rsid w:val="003946B5"/>
    <w:rsid w:val="0039528D"/>
    <w:rsid w:val="0039548F"/>
    <w:rsid w:val="003963AA"/>
    <w:rsid w:val="003966E9"/>
    <w:rsid w:val="00397C6A"/>
    <w:rsid w:val="003A0D58"/>
    <w:rsid w:val="003A1152"/>
    <w:rsid w:val="003A1461"/>
    <w:rsid w:val="003A161F"/>
    <w:rsid w:val="003A17F9"/>
    <w:rsid w:val="003A1B53"/>
    <w:rsid w:val="003A1E0D"/>
    <w:rsid w:val="003A2116"/>
    <w:rsid w:val="003A2256"/>
    <w:rsid w:val="003A2F8A"/>
    <w:rsid w:val="003A30F5"/>
    <w:rsid w:val="003A42F0"/>
    <w:rsid w:val="003A450A"/>
    <w:rsid w:val="003A49A6"/>
    <w:rsid w:val="003A503F"/>
    <w:rsid w:val="003A51D9"/>
    <w:rsid w:val="003A53D2"/>
    <w:rsid w:val="003A5A9C"/>
    <w:rsid w:val="003A6103"/>
    <w:rsid w:val="003A655D"/>
    <w:rsid w:val="003A6D89"/>
    <w:rsid w:val="003A6E01"/>
    <w:rsid w:val="003A6EE4"/>
    <w:rsid w:val="003A7117"/>
    <w:rsid w:val="003A7881"/>
    <w:rsid w:val="003B040F"/>
    <w:rsid w:val="003B083C"/>
    <w:rsid w:val="003B0D70"/>
    <w:rsid w:val="003B0E24"/>
    <w:rsid w:val="003B10E8"/>
    <w:rsid w:val="003B1712"/>
    <w:rsid w:val="003B1D3A"/>
    <w:rsid w:val="003B28AD"/>
    <w:rsid w:val="003B2976"/>
    <w:rsid w:val="003B2C23"/>
    <w:rsid w:val="003B2F75"/>
    <w:rsid w:val="003B3A6D"/>
    <w:rsid w:val="003B405B"/>
    <w:rsid w:val="003B414A"/>
    <w:rsid w:val="003B48F5"/>
    <w:rsid w:val="003B49F2"/>
    <w:rsid w:val="003B4DCF"/>
    <w:rsid w:val="003B5092"/>
    <w:rsid w:val="003B5AB9"/>
    <w:rsid w:val="003B631E"/>
    <w:rsid w:val="003B6A9C"/>
    <w:rsid w:val="003B6AE5"/>
    <w:rsid w:val="003B704D"/>
    <w:rsid w:val="003B73CE"/>
    <w:rsid w:val="003B75A1"/>
    <w:rsid w:val="003B769C"/>
    <w:rsid w:val="003B799D"/>
    <w:rsid w:val="003B79E1"/>
    <w:rsid w:val="003B7FCD"/>
    <w:rsid w:val="003C0FB1"/>
    <w:rsid w:val="003C142D"/>
    <w:rsid w:val="003C1495"/>
    <w:rsid w:val="003C163D"/>
    <w:rsid w:val="003C183A"/>
    <w:rsid w:val="003C23EC"/>
    <w:rsid w:val="003C2610"/>
    <w:rsid w:val="003C3392"/>
    <w:rsid w:val="003C33A6"/>
    <w:rsid w:val="003C34B7"/>
    <w:rsid w:val="003C388A"/>
    <w:rsid w:val="003C4D99"/>
    <w:rsid w:val="003C510F"/>
    <w:rsid w:val="003C5850"/>
    <w:rsid w:val="003C6F66"/>
    <w:rsid w:val="003C7316"/>
    <w:rsid w:val="003C742F"/>
    <w:rsid w:val="003C74BD"/>
    <w:rsid w:val="003C7D25"/>
    <w:rsid w:val="003C7F78"/>
    <w:rsid w:val="003D01B4"/>
    <w:rsid w:val="003D040E"/>
    <w:rsid w:val="003D0656"/>
    <w:rsid w:val="003D08C8"/>
    <w:rsid w:val="003D10C0"/>
    <w:rsid w:val="003D11CD"/>
    <w:rsid w:val="003D1332"/>
    <w:rsid w:val="003D13E7"/>
    <w:rsid w:val="003D1870"/>
    <w:rsid w:val="003D1E9A"/>
    <w:rsid w:val="003D282D"/>
    <w:rsid w:val="003D3ACD"/>
    <w:rsid w:val="003D3FE6"/>
    <w:rsid w:val="003D43D2"/>
    <w:rsid w:val="003D4A3F"/>
    <w:rsid w:val="003D564B"/>
    <w:rsid w:val="003D6615"/>
    <w:rsid w:val="003D682C"/>
    <w:rsid w:val="003D6C02"/>
    <w:rsid w:val="003D6E00"/>
    <w:rsid w:val="003D72E5"/>
    <w:rsid w:val="003D7598"/>
    <w:rsid w:val="003D77A4"/>
    <w:rsid w:val="003D77D3"/>
    <w:rsid w:val="003D7C3E"/>
    <w:rsid w:val="003E0A6E"/>
    <w:rsid w:val="003E0ADB"/>
    <w:rsid w:val="003E0ADF"/>
    <w:rsid w:val="003E0B8A"/>
    <w:rsid w:val="003E101A"/>
    <w:rsid w:val="003E1C8D"/>
    <w:rsid w:val="003E1CC5"/>
    <w:rsid w:val="003E255B"/>
    <w:rsid w:val="003E2CFD"/>
    <w:rsid w:val="003E2F05"/>
    <w:rsid w:val="003E2F7C"/>
    <w:rsid w:val="003E3054"/>
    <w:rsid w:val="003E3175"/>
    <w:rsid w:val="003E330D"/>
    <w:rsid w:val="003E38DD"/>
    <w:rsid w:val="003E45BA"/>
    <w:rsid w:val="003E49D4"/>
    <w:rsid w:val="003E4FB9"/>
    <w:rsid w:val="003E5430"/>
    <w:rsid w:val="003E62F3"/>
    <w:rsid w:val="003E657C"/>
    <w:rsid w:val="003E6E93"/>
    <w:rsid w:val="003E70FE"/>
    <w:rsid w:val="003E730C"/>
    <w:rsid w:val="003F038C"/>
    <w:rsid w:val="003F06D1"/>
    <w:rsid w:val="003F0800"/>
    <w:rsid w:val="003F087B"/>
    <w:rsid w:val="003F0E72"/>
    <w:rsid w:val="003F0FC0"/>
    <w:rsid w:val="003F1E74"/>
    <w:rsid w:val="003F2570"/>
    <w:rsid w:val="003F2653"/>
    <w:rsid w:val="003F2FDF"/>
    <w:rsid w:val="003F34E3"/>
    <w:rsid w:val="003F390E"/>
    <w:rsid w:val="003F3AA0"/>
    <w:rsid w:val="003F4070"/>
    <w:rsid w:val="003F4810"/>
    <w:rsid w:val="003F4B8B"/>
    <w:rsid w:val="003F4F4F"/>
    <w:rsid w:val="003F5851"/>
    <w:rsid w:val="003F5AA8"/>
    <w:rsid w:val="003F5E81"/>
    <w:rsid w:val="003F5EB9"/>
    <w:rsid w:val="003F5FB8"/>
    <w:rsid w:val="003F635E"/>
    <w:rsid w:val="003F64F0"/>
    <w:rsid w:val="003F656D"/>
    <w:rsid w:val="003F67AB"/>
    <w:rsid w:val="003F6C05"/>
    <w:rsid w:val="003F6FDB"/>
    <w:rsid w:val="003F716C"/>
    <w:rsid w:val="003F7574"/>
    <w:rsid w:val="003F7B38"/>
    <w:rsid w:val="00400229"/>
    <w:rsid w:val="0040067A"/>
    <w:rsid w:val="00400B35"/>
    <w:rsid w:val="0040121D"/>
    <w:rsid w:val="00401637"/>
    <w:rsid w:val="00401802"/>
    <w:rsid w:val="00401810"/>
    <w:rsid w:val="00401861"/>
    <w:rsid w:val="004018B1"/>
    <w:rsid w:val="00402970"/>
    <w:rsid w:val="00402D14"/>
    <w:rsid w:val="00402FAA"/>
    <w:rsid w:val="004033DD"/>
    <w:rsid w:val="004034DD"/>
    <w:rsid w:val="00403706"/>
    <w:rsid w:val="00403FCB"/>
    <w:rsid w:val="00404053"/>
    <w:rsid w:val="00404175"/>
    <w:rsid w:val="004049DB"/>
    <w:rsid w:val="004051A5"/>
    <w:rsid w:val="004053E4"/>
    <w:rsid w:val="00405618"/>
    <w:rsid w:val="0040588B"/>
    <w:rsid w:val="00405E33"/>
    <w:rsid w:val="00405E9C"/>
    <w:rsid w:val="0040627F"/>
    <w:rsid w:val="0040648C"/>
    <w:rsid w:val="0040667E"/>
    <w:rsid w:val="004068F5"/>
    <w:rsid w:val="00406938"/>
    <w:rsid w:val="00406D8D"/>
    <w:rsid w:val="0040768D"/>
    <w:rsid w:val="00407981"/>
    <w:rsid w:val="00407C9A"/>
    <w:rsid w:val="004100AF"/>
    <w:rsid w:val="00410384"/>
    <w:rsid w:val="0041065D"/>
    <w:rsid w:val="0041098A"/>
    <w:rsid w:val="00410BE6"/>
    <w:rsid w:val="00410E0F"/>
    <w:rsid w:val="00410E43"/>
    <w:rsid w:val="00410F6A"/>
    <w:rsid w:val="00411677"/>
    <w:rsid w:val="00411A88"/>
    <w:rsid w:val="00411EC1"/>
    <w:rsid w:val="00412709"/>
    <w:rsid w:val="004127E4"/>
    <w:rsid w:val="00412F35"/>
    <w:rsid w:val="004132EC"/>
    <w:rsid w:val="0041335D"/>
    <w:rsid w:val="00413917"/>
    <w:rsid w:val="00413AB2"/>
    <w:rsid w:val="00413F9E"/>
    <w:rsid w:val="00414F5D"/>
    <w:rsid w:val="004150BF"/>
    <w:rsid w:val="004155D8"/>
    <w:rsid w:val="00415647"/>
    <w:rsid w:val="0041564B"/>
    <w:rsid w:val="004156B9"/>
    <w:rsid w:val="00415750"/>
    <w:rsid w:val="00415BB4"/>
    <w:rsid w:val="00415F55"/>
    <w:rsid w:val="00416231"/>
    <w:rsid w:val="004162C4"/>
    <w:rsid w:val="004164E1"/>
    <w:rsid w:val="004167AF"/>
    <w:rsid w:val="00416802"/>
    <w:rsid w:val="0041694D"/>
    <w:rsid w:val="004169A0"/>
    <w:rsid w:val="00416C17"/>
    <w:rsid w:val="00416E72"/>
    <w:rsid w:val="0041705B"/>
    <w:rsid w:val="004171ED"/>
    <w:rsid w:val="0041735B"/>
    <w:rsid w:val="004173D7"/>
    <w:rsid w:val="00417AAE"/>
    <w:rsid w:val="00417B76"/>
    <w:rsid w:val="004202D5"/>
    <w:rsid w:val="0042041D"/>
    <w:rsid w:val="00420783"/>
    <w:rsid w:val="004208EA"/>
    <w:rsid w:val="00420947"/>
    <w:rsid w:val="004216FC"/>
    <w:rsid w:val="004217DB"/>
    <w:rsid w:val="0042197D"/>
    <w:rsid w:val="00421A9C"/>
    <w:rsid w:val="00421C96"/>
    <w:rsid w:val="0042231C"/>
    <w:rsid w:val="0042241B"/>
    <w:rsid w:val="00422D06"/>
    <w:rsid w:val="00422E33"/>
    <w:rsid w:val="004230B4"/>
    <w:rsid w:val="004235EA"/>
    <w:rsid w:val="00423855"/>
    <w:rsid w:val="00423876"/>
    <w:rsid w:val="00423B2C"/>
    <w:rsid w:val="00423CD6"/>
    <w:rsid w:val="00424897"/>
    <w:rsid w:val="00424C76"/>
    <w:rsid w:val="00424D43"/>
    <w:rsid w:val="00424E82"/>
    <w:rsid w:val="004250C9"/>
    <w:rsid w:val="004251FF"/>
    <w:rsid w:val="00425468"/>
    <w:rsid w:val="004256F1"/>
    <w:rsid w:val="004259C6"/>
    <w:rsid w:val="00425DB2"/>
    <w:rsid w:val="00425FF4"/>
    <w:rsid w:val="004260AE"/>
    <w:rsid w:val="00426269"/>
    <w:rsid w:val="00426274"/>
    <w:rsid w:val="004263F7"/>
    <w:rsid w:val="00426548"/>
    <w:rsid w:val="0042666D"/>
    <w:rsid w:val="00426999"/>
    <w:rsid w:val="004269DB"/>
    <w:rsid w:val="00426A17"/>
    <w:rsid w:val="00426B90"/>
    <w:rsid w:val="00426D1E"/>
    <w:rsid w:val="00427637"/>
    <w:rsid w:val="00427AC8"/>
    <w:rsid w:val="004305EB"/>
    <w:rsid w:val="004307E5"/>
    <w:rsid w:val="004308E4"/>
    <w:rsid w:val="00430AD8"/>
    <w:rsid w:val="00430C4E"/>
    <w:rsid w:val="0043102D"/>
    <w:rsid w:val="004310BA"/>
    <w:rsid w:val="004315D6"/>
    <w:rsid w:val="0043179E"/>
    <w:rsid w:val="00431E6F"/>
    <w:rsid w:val="00432606"/>
    <w:rsid w:val="00432749"/>
    <w:rsid w:val="00432CBA"/>
    <w:rsid w:val="00433069"/>
    <w:rsid w:val="00433823"/>
    <w:rsid w:val="00433849"/>
    <w:rsid w:val="004338FA"/>
    <w:rsid w:val="00433A77"/>
    <w:rsid w:val="00433ABB"/>
    <w:rsid w:val="004343C5"/>
    <w:rsid w:val="00434563"/>
    <w:rsid w:val="00435583"/>
    <w:rsid w:val="00435842"/>
    <w:rsid w:val="00436193"/>
    <w:rsid w:val="004363B2"/>
    <w:rsid w:val="004370F8"/>
    <w:rsid w:val="0043719A"/>
    <w:rsid w:val="00437322"/>
    <w:rsid w:val="00437714"/>
    <w:rsid w:val="004378E6"/>
    <w:rsid w:val="00437A92"/>
    <w:rsid w:val="004400F3"/>
    <w:rsid w:val="0044010D"/>
    <w:rsid w:val="0044022F"/>
    <w:rsid w:val="004409F6"/>
    <w:rsid w:val="00441A6C"/>
    <w:rsid w:val="00441B17"/>
    <w:rsid w:val="00441F6E"/>
    <w:rsid w:val="00442239"/>
    <w:rsid w:val="0044286C"/>
    <w:rsid w:val="00442C70"/>
    <w:rsid w:val="00442F31"/>
    <w:rsid w:val="0044307A"/>
    <w:rsid w:val="00443464"/>
    <w:rsid w:val="00443558"/>
    <w:rsid w:val="004437D4"/>
    <w:rsid w:val="00443FD1"/>
    <w:rsid w:val="00444980"/>
    <w:rsid w:val="00444BEF"/>
    <w:rsid w:val="00444D7F"/>
    <w:rsid w:val="00444E52"/>
    <w:rsid w:val="00445184"/>
    <w:rsid w:val="004451A4"/>
    <w:rsid w:val="004452A1"/>
    <w:rsid w:val="004452B9"/>
    <w:rsid w:val="004453DE"/>
    <w:rsid w:val="00445A6C"/>
    <w:rsid w:val="00445A82"/>
    <w:rsid w:val="00445DAB"/>
    <w:rsid w:val="0044602C"/>
    <w:rsid w:val="00446A94"/>
    <w:rsid w:val="00446BAB"/>
    <w:rsid w:val="00447255"/>
    <w:rsid w:val="004474D8"/>
    <w:rsid w:val="0044757E"/>
    <w:rsid w:val="004475C9"/>
    <w:rsid w:val="00450150"/>
    <w:rsid w:val="0045066A"/>
    <w:rsid w:val="00451162"/>
    <w:rsid w:val="004519BB"/>
    <w:rsid w:val="00451A09"/>
    <w:rsid w:val="00451C24"/>
    <w:rsid w:val="004525C8"/>
    <w:rsid w:val="00452853"/>
    <w:rsid w:val="00452CEE"/>
    <w:rsid w:val="0045316B"/>
    <w:rsid w:val="004531D9"/>
    <w:rsid w:val="004534CE"/>
    <w:rsid w:val="004536F1"/>
    <w:rsid w:val="00453718"/>
    <w:rsid w:val="004538F5"/>
    <w:rsid w:val="004539C0"/>
    <w:rsid w:val="00453F63"/>
    <w:rsid w:val="00453F6A"/>
    <w:rsid w:val="0045498D"/>
    <w:rsid w:val="00454C1C"/>
    <w:rsid w:val="00455054"/>
    <w:rsid w:val="00455437"/>
    <w:rsid w:val="00455771"/>
    <w:rsid w:val="00455808"/>
    <w:rsid w:val="00455961"/>
    <w:rsid w:val="00456426"/>
    <w:rsid w:val="004564B0"/>
    <w:rsid w:val="00456605"/>
    <w:rsid w:val="004567C1"/>
    <w:rsid w:val="00456BE2"/>
    <w:rsid w:val="004570A1"/>
    <w:rsid w:val="00457796"/>
    <w:rsid w:val="00457BA0"/>
    <w:rsid w:val="00457BE4"/>
    <w:rsid w:val="00460B12"/>
    <w:rsid w:val="00460EAF"/>
    <w:rsid w:val="00460F94"/>
    <w:rsid w:val="00461413"/>
    <w:rsid w:val="004618AB"/>
    <w:rsid w:val="00461B57"/>
    <w:rsid w:val="00461D86"/>
    <w:rsid w:val="004628CB"/>
    <w:rsid w:val="00462C2D"/>
    <w:rsid w:val="00462C62"/>
    <w:rsid w:val="00462D1A"/>
    <w:rsid w:val="00462F61"/>
    <w:rsid w:val="0046319B"/>
    <w:rsid w:val="00463377"/>
    <w:rsid w:val="00463529"/>
    <w:rsid w:val="0046354A"/>
    <w:rsid w:val="00463EB1"/>
    <w:rsid w:val="0046418E"/>
    <w:rsid w:val="00464584"/>
    <w:rsid w:val="0046538C"/>
    <w:rsid w:val="004657D5"/>
    <w:rsid w:val="00465A11"/>
    <w:rsid w:val="00465C81"/>
    <w:rsid w:val="00465C92"/>
    <w:rsid w:val="0046606D"/>
    <w:rsid w:val="00466398"/>
    <w:rsid w:val="004663B1"/>
    <w:rsid w:val="00466DBF"/>
    <w:rsid w:val="00466F07"/>
    <w:rsid w:val="00467731"/>
    <w:rsid w:val="00467770"/>
    <w:rsid w:val="00467E2A"/>
    <w:rsid w:val="00470D87"/>
    <w:rsid w:val="00471651"/>
    <w:rsid w:val="004716AA"/>
    <w:rsid w:val="00471D39"/>
    <w:rsid w:val="00471E87"/>
    <w:rsid w:val="00471EA7"/>
    <w:rsid w:val="004721FE"/>
    <w:rsid w:val="00472B85"/>
    <w:rsid w:val="00473B82"/>
    <w:rsid w:val="00473E77"/>
    <w:rsid w:val="004742D8"/>
    <w:rsid w:val="00474499"/>
    <w:rsid w:val="00474A5A"/>
    <w:rsid w:val="00475340"/>
    <w:rsid w:val="00475364"/>
    <w:rsid w:val="00475852"/>
    <w:rsid w:val="00475B31"/>
    <w:rsid w:val="0047633B"/>
    <w:rsid w:val="00476852"/>
    <w:rsid w:val="00476CF6"/>
    <w:rsid w:val="004776EE"/>
    <w:rsid w:val="00477B1E"/>
    <w:rsid w:val="00477B7B"/>
    <w:rsid w:val="00477DE1"/>
    <w:rsid w:val="00480992"/>
    <w:rsid w:val="00480DBC"/>
    <w:rsid w:val="00481725"/>
    <w:rsid w:val="00482174"/>
    <w:rsid w:val="0048301E"/>
    <w:rsid w:val="00483AC4"/>
    <w:rsid w:val="00483C22"/>
    <w:rsid w:val="00483CB5"/>
    <w:rsid w:val="0048420E"/>
    <w:rsid w:val="004844D3"/>
    <w:rsid w:val="00484512"/>
    <w:rsid w:val="00484840"/>
    <w:rsid w:val="00484DBF"/>
    <w:rsid w:val="00484F01"/>
    <w:rsid w:val="0048530F"/>
    <w:rsid w:val="00485328"/>
    <w:rsid w:val="0048586B"/>
    <w:rsid w:val="00485A6A"/>
    <w:rsid w:val="00485A95"/>
    <w:rsid w:val="00486FB9"/>
    <w:rsid w:val="00487417"/>
    <w:rsid w:val="004874A7"/>
    <w:rsid w:val="004878D5"/>
    <w:rsid w:val="004879CE"/>
    <w:rsid w:val="004901C0"/>
    <w:rsid w:val="004902A1"/>
    <w:rsid w:val="00490BDC"/>
    <w:rsid w:val="0049124E"/>
    <w:rsid w:val="004918C2"/>
    <w:rsid w:val="00491931"/>
    <w:rsid w:val="00491BC9"/>
    <w:rsid w:val="00491E8E"/>
    <w:rsid w:val="00492330"/>
    <w:rsid w:val="00492D16"/>
    <w:rsid w:val="0049345F"/>
    <w:rsid w:val="00493712"/>
    <w:rsid w:val="00493BA2"/>
    <w:rsid w:val="00493F9A"/>
    <w:rsid w:val="0049413A"/>
    <w:rsid w:val="00494F02"/>
    <w:rsid w:val="00495164"/>
    <w:rsid w:val="004952AD"/>
    <w:rsid w:val="0049532B"/>
    <w:rsid w:val="0049566D"/>
    <w:rsid w:val="00495B02"/>
    <w:rsid w:val="00495F2C"/>
    <w:rsid w:val="00496099"/>
    <w:rsid w:val="0049660D"/>
    <w:rsid w:val="00496B0D"/>
    <w:rsid w:val="00496CD0"/>
    <w:rsid w:val="0049718B"/>
    <w:rsid w:val="004973B0"/>
    <w:rsid w:val="004973C1"/>
    <w:rsid w:val="0049745C"/>
    <w:rsid w:val="0049746A"/>
    <w:rsid w:val="00497474"/>
    <w:rsid w:val="00497B43"/>
    <w:rsid w:val="00497BA0"/>
    <w:rsid w:val="00497D69"/>
    <w:rsid w:val="004A01FC"/>
    <w:rsid w:val="004A0CBB"/>
    <w:rsid w:val="004A0E26"/>
    <w:rsid w:val="004A110D"/>
    <w:rsid w:val="004A1A50"/>
    <w:rsid w:val="004A22C1"/>
    <w:rsid w:val="004A2673"/>
    <w:rsid w:val="004A2D7D"/>
    <w:rsid w:val="004A36D4"/>
    <w:rsid w:val="004A4910"/>
    <w:rsid w:val="004A496C"/>
    <w:rsid w:val="004A4970"/>
    <w:rsid w:val="004A5816"/>
    <w:rsid w:val="004A6001"/>
    <w:rsid w:val="004A778C"/>
    <w:rsid w:val="004A7BB0"/>
    <w:rsid w:val="004A7CC3"/>
    <w:rsid w:val="004B02BD"/>
    <w:rsid w:val="004B137A"/>
    <w:rsid w:val="004B1B5C"/>
    <w:rsid w:val="004B1E6E"/>
    <w:rsid w:val="004B1EEA"/>
    <w:rsid w:val="004B203A"/>
    <w:rsid w:val="004B2332"/>
    <w:rsid w:val="004B2652"/>
    <w:rsid w:val="004B2BFD"/>
    <w:rsid w:val="004B300F"/>
    <w:rsid w:val="004B362E"/>
    <w:rsid w:val="004B3C8F"/>
    <w:rsid w:val="004B4546"/>
    <w:rsid w:val="004B4A37"/>
    <w:rsid w:val="004B4C97"/>
    <w:rsid w:val="004B4D06"/>
    <w:rsid w:val="004B5072"/>
    <w:rsid w:val="004B51C8"/>
    <w:rsid w:val="004B52C7"/>
    <w:rsid w:val="004B59C8"/>
    <w:rsid w:val="004B65B9"/>
    <w:rsid w:val="004B6623"/>
    <w:rsid w:val="004B6F85"/>
    <w:rsid w:val="004B727C"/>
    <w:rsid w:val="004B73E4"/>
    <w:rsid w:val="004B751E"/>
    <w:rsid w:val="004B79EF"/>
    <w:rsid w:val="004B7DAD"/>
    <w:rsid w:val="004C0587"/>
    <w:rsid w:val="004C0701"/>
    <w:rsid w:val="004C0AF9"/>
    <w:rsid w:val="004C0EF4"/>
    <w:rsid w:val="004C1711"/>
    <w:rsid w:val="004C183D"/>
    <w:rsid w:val="004C1D53"/>
    <w:rsid w:val="004C22BE"/>
    <w:rsid w:val="004C22DC"/>
    <w:rsid w:val="004C2423"/>
    <w:rsid w:val="004C2500"/>
    <w:rsid w:val="004C290D"/>
    <w:rsid w:val="004C2C01"/>
    <w:rsid w:val="004C3245"/>
    <w:rsid w:val="004C34AB"/>
    <w:rsid w:val="004C358A"/>
    <w:rsid w:val="004C3795"/>
    <w:rsid w:val="004C4334"/>
    <w:rsid w:val="004C46AB"/>
    <w:rsid w:val="004C49CA"/>
    <w:rsid w:val="004C566C"/>
    <w:rsid w:val="004C5E7C"/>
    <w:rsid w:val="004C5F69"/>
    <w:rsid w:val="004C6010"/>
    <w:rsid w:val="004C684F"/>
    <w:rsid w:val="004C6E2F"/>
    <w:rsid w:val="004C7099"/>
    <w:rsid w:val="004C78FB"/>
    <w:rsid w:val="004D05BD"/>
    <w:rsid w:val="004D0DA5"/>
    <w:rsid w:val="004D0DE5"/>
    <w:rsid w:val="004D12F1"/>
    <w:rsid w:val="004D1982"/>
    <w:rsid w:val="004D1FC9"/>
    <w:rsid w:val="004D20D6"/>
    <w:rsid w:val="004D2458"/>
    <w:rsid w:val="004D2490"/>
    <w:rsid w:val="004D28E3"/>
    <w:rsid w:val="004D2973"/>
    <w:rsid w:val="004D3230"/>
    <w:rsid w:val="004D37CC"/>
    <w:rsid w:val="004D421A"/>
    <w:rsid w:val="004D45F4"/>
    <w:rsid w:val="004D46CA"/>
    <w:rsid w:val="004D4946"/>
    <w:rsid w:val="004D5592"/>
    <w:rsid w:val="004D5AA3"/>
    <w:rsid w:val="004D5B9A"/>
    <w:rsid w:val="004D5DF1"/>
    <w:rsid w:val="004D62C7"/>
    <w:rsid w:val="004D67A5"/>
    <w:rsid w:val="004D67E1"/>
    <w:rsid w:val="004D6877"/>
    <w:rsid w:val="004D75B0"/>
    <w:rsid w:val="004D77BE"/>
    <w:rsid w:val="004D7FFE"/>
    <w:rsid w:val="004E056C"/>
    <w:rsid w:val="004E082B"/>
    <w:rsid w:val="004E0ACF"/>
    <w:rsid w:val="004E0D61"/>
    <w:rsid w:val="004E12E0"/>
    <w:rsid w:val="004E2237"/>
    <w:rsid w:val="004E232C"/>
    <w:rsid w:val="004E237A"/>
    <w:rsid w:val="004E2713"/>
    <w:rsid w:val="004E2FC5"/>
    <w:rsid w:val="004E407C"/>
    <w:rsid w:val="004E40A7"/>
    <w:rsid w:val="004E4777"/>
    <w:rsid w:val="004E4A4E"/>
    <w:rsid w:val="004E4C41"/>
    <w:rsid w:val="004E5745"/>
    <w:rsid w:val="004E5C04"/>
    <w:rsid w:val="004E5EA0"/>
    <w:rsid w:val="004E6657"/>
    <w:rsid w:val="004E68C5"/>
    <w:rsid w:val="004E68FB"/>
    <w:rsid w:val="004E6DF0"/>
    <w:rsid w:val="004E7549"/>
    <w:rsid w:val="004E7F58"/>
    <w:rsid w:val="004F04CA"/>
    <w:rsid w:val="004F050F"/>
    <w:rsid w:val="004F0F5B"/>
    <w:rsid w:val="004F1115"/>
    <w:rsid w:val="004F13A1"/>
    <w:rsid w:val="004F1E65"/>
    <w:rsid w:val="004F1F89"/>
    <w:rsid w:val="004F38BF"/>
    <w:rsid w:val="004F3B24"/>
    <w:rsid w:val="004F4222"/>
    <w:rsid w:val="004F42DA"/>
    <w:rsid w:val="004F4B01"/>
    <w:rsid w:val="004F4C64"/>
    <w:rsid w:val="004F52A2"/>
    <w:rsid w:val="004F5E55"/>
    <w:rsid w:val="004F6493"/>
    <w:rsid w:val="004F67C8"/>
    <w:rsid w:val="004F714F"/>
    <w:rsid w:val="004F79F6"/>
    <w:rsid w:val="004F7B2A"/>
    <w:rsid w:val="004F7CF0"/>
    <w:rsid w:val="004F7D07"/>
    <w:rsid w:val="004F7D14"/>
    <w:rsid w:val="004F7D39"/>
    <w:rsid w:val="0050043F"/>
    <w:rsid w:val="00500565"/>
    <w:rsid w:val="00500DBD"/>
    <w:rsid w:val="0050110E"/>
    <w:rsid w:val="005014DD"/>
    <w:rsid w:val="00501899"/>
    <w:rsid w:val="00501E1D"/>
    <w:rsid w:val="005020C4"/>
    <w:rsid w:val="00502224"/>
    <w:rsid w:val="0050280D"/>
    <w:rsid w:val="00502DCD"/>
    <w:rsid w:val="005030DA"/>
    <w:rsid w:val="0050358B"/>
    <w:rsid w:val="00503FB3"/>
    <w:rsid w:val="0050420B"/>
    <w:rsid w:val="00504A4D"/>
    <w:rsid w:val="00504CFE"/>
    <w:rsid w:val="0050579D"/>
    <w:rsid w:val="005059BC"/>
    <w:rsid w:val="005061CE"/>
    <w:rsid w:val="00506275"/>
    <w:rsid w:val="0050671E"/>
    <w:rsid w:val="005069B4"/>
    <w:rsid w:val="00506DA7"/>
    <w:rsid w:val="00507314"/>
    <w:rsid w:val="00507A01"/>
    <w:rsid w:val="00507DFF"/>
    <w:rsid w:val="0051013E"/>
    <w:rsid w:val="00510193"/>
    <w:rsid w:val="0051040E"/>
    <w:rsid w:val="00510556"/>
    <w:rsid w:val="00511114"/>
    <w:rsid w:val="005114F1"/>
    <w:rsid w:val="00511CC4"/>
    <w:rsid w:val="00511D84"/>
    <w:rsid w:val="00511FE6"/>
    <w:rsid w:val="00512509"/>
    <w:rsid w:val="0051302A"/>
    <w:rsid w:val="0051330A"/>
    <w:rsid w:val="0051333C"/>
    <w:rsid w:val="00514553"/>
    <w:rsid w:val="0051480A"/>
    <w:rsid w:val="00514B2E"/>
    <w:rsid w:val="00514CE4"/>
    <w:rsid w:val="00514DCE"/>
    <w:rsid w:val="00515036"/>
    <w:rsid w:val="00515718"/>
    <w:rsid w:val="0051586C"/>
    <w:rsid w:val="00515D8F"/>
    <w:rsid w:val="00515F2A"/>
    <w:rsid w:val="00516A72"/>
    <w:rsid w:val="00517422"/>
    <w:rsid w:val="005178D2"/>
    <w:rsid w:val="00517EF6"/>
    <w:rsid w:val="0052010E"/>
    <w:rsid w:val="00520213"/>
    <w:rsid w:val="00520BD5"/>
    <w:rsid w:val="00520CDE"/>
    <w:rsid w:val="00520E98"/>
    <w:rsid w:val="00521382"/>
    <w:rsid w:val="0052138B"/>
    <w:rsid w:val="00522064"/>
    <w:rsid w:val="00522235"/>
    <w:rsid w:val="00522D67"/>
    <w:rsid w:val="005238A8"/>
    <w:rsid w:val="00523C49"/>
    <w:rsid w:val="00523E33"/>
    <w:rsid w:val="0052402F"/>
    <w:rsid w:val="00524500"/>
    <w:rsid w:val="0052475D"/>
    <w:rsid w:val="00524A97"/>
    <w:rsid w:val="00524D34"/>
    <w:rsid w:val="005258C3"/>
    <w:rsid w:val="00525ACD"/>
    <w:rsid w:val="00526395"/>
    <w:rsid w:val="0052641F"/>
    <w:rsid w:val="005268B5"/>
    <w:rsid w:val="00526D77"/>
    <w:rsid w:val="00526EC6"/>
    <w:rsid w:val="00526ED6"/>
    <w:rsid w:val="00527984"/>
    <w:rsid w:val="00527F16"/>
    <w:rsid w:val="00530084"/>
    <w:rsid w:val="00530245"/>
    <w:rsid w:val="0053025F"/>
    <w:rsid w:val="005309C2"/>
    <w:rsid w:val="0053155B"/>
    <w:rsid w:val="00531774"/>
    <w:rsid w:val="005324B4"/>
    <w:rsid w:val="00532DA2"/>
    <w:rsid w:val="005330E1"/>
    <w:rsid w:val="0053321B"/>
    <w:rsid w:val="00534187"/>
    <w:rsid w:val="00534AE9"/>
    <w:rsid w:val="005350FD"/>
    <w:rsid w:val="00535200"/>
    <w:rsid w:val="00535326"/>
    <w:rsid w:val="0053586C"/>
    <w:rsid w:val="0053699B"/>
    <w:rsid w:val="00536B48"/>
    <w:rsid w:val="0054011A"/>
    <w:rsid w:val="005411DA"/>
    <w:rsid w:val="0054129F"/>
    <w:rsid w:val="0054136F"/>
    <w:rsid w:val="005416E3"/>
    <w:rsid w:val="005417C4"/>
    <w:rsid w:val="005418A8"/>
    <w:rsid w:val="00541F4A"/>
    <w:rsid w:val="00542966"/>
    <w:rsid w:val="005433B0"/>
    <w:rsid w:val="0054414F"/>
    <w:rsid w:val="0054451D"/>
    <w:rsid w:val="00544D6F"/>
    <w:rsid w:val="00545348"/>
    <w:rsid w:val="00545961"/>
    <w:rsid w:val="005460E7"/>
    <w:rsid w:val="005464F3"/>
    <w:rsid w:val="005466A4"/>
    <w:rsid w:val="0054751A"/>
    <w:rsid w:val="00547523"/>
    <w:rsid w:val="00547FE1"/>
    <w:rsid w:val="005502A1"/>
    <w:rsid w:val="00550B1E"/>
    <w:rsid w:val="005517BC"/>
    <w:rsid w:val="00552094"/>
    <w:rsid w:val="005523BB"/>
    <w:rsid w:val="00552612"/>
    <w:rsid w:val="00552B88"/>
    <w:rsid w:val="00552D27"/>
    <w:rsid w:val="00553200"/>
    <w:rsid w:val="005535C3"/>
    <w:rsid w:val="00553BD0"/>
    <w:rsid w:val="00553BF7"/>
    <w:rsid w:val="00554711"/>
    <w:rsid w:val="005547ED"/>
    <w:rsid w:val="00554D66"/>
    <w:rsid w:val="005557F4"/>
    <w:rsid w:val="00555842"/>
    <w:rsid w:val="005559C8"/>
    <w:rsid w:val="00555C1F"/>
    <w:rsid w:val="005565EF"/>
    <w:rsid w:val="00556D58"/>
    <w:rsid w:val="00556F9D"/>
    <w:rsid w:val="0055703A"/>
    <w:rsid w:val="00557200"/>
    <w:rsid w:val="005574E7"/>
    <w:rsid w:val="00557971"/>
    <w:rsid w:val="00557CCE"/>
    <w:rsid w:val="005609D6"/>
    <w:rsid w:val="00561184"/>
    <w:rsid w:val="005611E3"/>
    <w:rsid w:val="005618F2"/>
    <w:rsid w:val="005623C8"/>
    <w:rsid w:val="0056289D"/>
    <w:rsid w:val="00562C15"/>
    <w:rsid w:val="00562EE2"/>
    <w:rsid w:val="00562FEB"/>
    <w:rsid w:val="005635FB"/>
    <w:rsid w:val="0056367D"/>
    <w:rsid w:val="005645F0"/>
    <w:rsid w:val="005653E1"/>
    <w:rsid w:val="005655AF"/>
    <w:rsid w:val="00565883"/>
    <w:rsid w:val="00565A95"/>
    <w:rsid w:val="00566085"/>
    <w:rsid w:val="00566A3D"/>
    <w:rsid w:val="00567391"/>
    <w:rsid w:val="0056749B"/>
    <w:rsid w:val="00567837"/>
    <w:rsid w:val="00567F22"/>
    <w:rsid w:val="00570D6E"/>
    <w:rsid w:val="00570F7B"/>
    <w:rsid w:val="005717E8"/>
    <w:rsid w:val="0057181C"/>
    <w:rsid w:val="005720C7"/>
    <w:rsid w:val="00572161"/>
    <w:rsid w:val="0057221D"/>
    <w:rsid w:val="0057251D"/>
    <w:rsid w:val="0057274F"/>
    <w:rsid w:val="0057275C"/>
    <w:rsid w:val="00572815"/>
    <w:rsid w:val="0057328F"/>
    <w:rsid w:val="005734FE"/>
    <w:rsid w:val="005738B5"/>
    <w:rsid w:val="00573C81"/>
    <w:rsid w:val="00573D32"/>
    <w:rsid w:val="00573EA1"/>
    <w:rsid w:val="00574038"/>
    <w:rsid w:val="005745CA"/>
    <w:rsid w:val="0057489A"/>
    <w:rsid w:val="00574AD2"/>
    <w:rsid w:val="00575655"/>
    <w:rsid w:val="005766DA"/>
    <w:rsid w:val="00576705"/>
    <w:rsid w:val="00576762"/>
    <w:rsid w:val="005768D9"/>
    <w:rsid w:val="0057751D"/>
    <w:rsid w:val="00577621"/>
    <w:rsid w:val="00577780"/>
    <w:rsid w:val="00577A77"/>
    <w:rsid w:val="00577DBB"/>
    <w:rsid w:val="00577E29"/>
    <w:rsid w:val="005801F2"/>
    <w:rsid w:val="005807FC"/>
    <w:rsid w:val="0058097B"/>
    <w:rsid w:val="00580C26"/>
    <w:rsid w:val="00580D9E"/>
    <w:rsid w:val="00580DBB"/>
    <w:rsid w:val="0058129B"/>
    <w:rsid w:val="005818C8"/>
    <w:rsid w:val="0058193D"/>
    <w:rsid w:val="00581C36"/>
    <w:rsid w:val="0058226D"/>
    <w:rsid w:val="005824E1"/>
    <w:rsid w:val="0058286B"/>
    <w:rsid w:val="00582A0A"/>
    <w:rsid w:val="00582E36"/>
    <w:rsid w:val="0058360A"/>
    <w:rsid w:val="00583E14"/>
    <w:rsid w:val="00583F84"/>
    <w:rsid w:val="005843AF"/>
    <w:rsid w:val="0058456E"/>
    <w:rsid w:val="005847B5"/>
    <w:rsid w:val="00584D84"/>
    <w:rsid w:val="00585E54"/>
    <w:rsid w:val="0058620B"/>
    <w:rsid w:val="005868D3"/>
    <w:rsid w:val="00586961"/>
    <w:rsid w:val="00586AB6"/>
    <w:rsid w:val="00586D90"/>
    <w:rsid w:val="00586FEE"/>
    <w:rsid w:val="005871E6"/>
    <w:rsid w:val="00587674"/>
    <w:rsid w:val="00587C76"/>
    <w:rsid w:val="00587CAE"/>
    <w:rsid w:val="0059026D"/>
    <w:rsid w:val="0059058F"/>
    <w:rsid w:val="00591055"/>
    <w:rsid w:val="00591374"/>
    <w:rsid w:val="0059147E"/>
    <w:rsid w:val="00591C21"/>
    <w:rsid w:val="00591CCE"/>
    <w:rsid w:val="0059296D"/>
    <w:rsid w:val="0059368E"/>
    <w:rsid w:val="005937AC"/>
    <w:rsid w:val="00593A21"/>
    <w:rsid w:val="00594046"/>
    <w:rsid w:val="00594951"/>
    <w:rsid w:val="00594ACA"/>
    <w:rsid w:val="00594C77"/>
    <w:rsid w:val="0059511E"/>
    <w:rsid w:val="00595407"/>
    <w:rsid w:val="0059573D"/>
    <w:rsid w:val="00595A06"/>
    <w:rsid w:val="00595F44"/>
    <w:rsid w:val="0059655A"/>
    <w:rsid w:val="0059694E"/>
    <w:rsid w:val="00596B2E"/>
    <w:rsid w:val="00597032"/>
    <w:rsid w:val="005971AD"/>
    <w:rsid w:val="005977C8"/>
    <w:rsid w:val="00597D38"/>
    <w:rsid w:val="00597F7C"/>
    <w:rsid w:val="005A0216"/>
    <w:rsid w:val="005A0738"/>
    <w:rsid w:val="005A0D0D"/>
    <w:rsid w:val="005A11BE"/>
    <w:rsid w:val="005A1251"/>
    <w:rsid w:val="005A145C"/>
    <w:rsid w:val="005A14CE"/>
    <w:rsid w:val="005A2023"/>
    <w:rsid w:val="005A2244"/>
    <w:rsid w:val="005A2C75"/>
    <w:rsid w:val="005A2DF5"/>
    <w:rsid w:val="005A2FC8"/>
    <w:rsid w:val="005A3871"/>
    <w:rsid w:val="005A3B53"/>
    <w:rsid w:val="005A3EEE"/>
    <w:rsid w:val="005A452E"/>
    <w:rsid w:val="005A5188"/>
    <w:rsid w:val="005A53DC"/>
    <w:rsid w:val="005A5CAC"/>
    <w:rsid w:val="005A5D7D"/>
    <w:rsid w:val="005A6359"/>
    <w:rsid w:val="005A651A"/>
    <w:rsid w:val="005A6567"/>
    <w:rsid w:val="005A68C8"/>
    <w:rsid w:val="005A6DBE"/>
    <w:rsid w:val="005A7602"/>
    <w:rsid w:val="005A7697"/>
    <w:rsid w:val="005A78A9"/>
    <w:rsid w:val="005A7ABF"/>
    <w:rsid w:val="005A7D17"/>
    <w:rsid w:val="005A7EA0"/>
    <w:rsid w:val="005B0130"/>
    <w:rsid w:val="005B02C5"/>
    <w:rsid w:val="005B08EE"/>
    <w:rsid w:val="005B0941"/>
    <w:rsid w:val="005B09EA"/>
    <w:rsid w:val="005B0A8A"/>
    <w:rsid w:val="005B0B9A"/>
    <w:rsid w:val="005B0D00"/>
    <w:rsid w:val="005B10A1"/>
    <w:rsid w:val="005B126C"/>
    <w:rsid w:val="005B1520"/>
    <w:rsid w:val="005B177F"/>
    <w:rsid w:val="005B1F34"/>
    <w:rsid w:val="005B2543"/>
    <w:rsid w:val="005B2BDA"/>
    <w:rsid w:val="005B2D97"/>
    <w:rsid w:val="005B304A"/>
    <w:rsid w:val="005B3058"/>
    <w:rsid w:val="005B315E"/>
    <w:rsid w:val="005B340E"/>
    <w:rsid w:val="005B37D6"/>
    <w:rsid w:val="005B37E2"/>
    <w:rsid w:val="005B40D6"/>
    <w:rsid w:val="005B4371"/>
    <w:rsid w:val="005B48B6"/>
    <w:rsid w:val="005B4B30"/>
    <w:rsid w:val="005B4B8B"/>
    <w:rsid w:val="005B521E"/>
    <w:rsid w:val="005B5556"/>
    <w:rsid w:val="005B58CA"/>
    <w:rsid w:val="005B58EB"/>
    <w:rsid w:val="005B5A97"/>
    <w:rsid w:val="005B5D74"/>
    <w:rsid w:val="005B6295"/>
    <w:rsid w:val="005B638C"/>
    <w:rsid w:val="005B63A1"/>
    <w:rsid w:val="005B6A62"/>
    <w:rsid w:val="005B7AB2"/>
    <w:rsid w:val="005C05D8"/>
    <w:rsid w:val="005C1D90"/>
    <w:rsid w:val="005C2225"/>
    <w:rsid w:val="005C244F"/>
    <w:rsid w:val="005C24DE"/>
    <w:rsid w:val="005C2F7B"/>
    <w:rsid w:val="005C2FC4"/>
    <w:rsid w:val="005C306C"/>
    <w:rsid w:val="005C3A0D"/>
    <w:rsid w:val="005C3F7B"/>
    <w:rsid w:val="005C443F"/>
    <w:rsid w:val="005C4456"/>
    <w:rsid w:val="005C4D76"/>
    <w:rsid w:val="005C4E97"/>
    <w:rsid w:val="005C512C"/>
    <w:rsid w:val="005C559B"/>
    <w:rsid w:val="005C566D"/>
    <w:rsid w:val="005C584F"/>
    <w:rsid w:val="005C5E6C"/>
    <w:rsid w:val="005C6180"/>
    <w:rsid w:val="005C63D3"/>
    <w:rsid w:val="005C6597"/>
    <w:rsid w:val="005C696E"/>
    <w:rsid w:val="005C703C"/>
    <w:rsid w:val="005C7A90"/>
    <w:rsid w:val="005C7BD7"/>
    <w:rsid w:val="005C7CBF"/>
    <w:rsid w:val="005D0572"/>
    <w:rsid w:val="005D1039"/>
    <w:rsid w:val="005D1230"/>
    <w:rsid w:val="005D21E2"/>
    <w:rsid w:val="005D2C83"/>
    <w:rsid w:val="005D3008"/>
    <w:rsid w:val="005D3E34"/>
    <w:rsid w:val="005D446C"/>
    <w:rsid w:val="005D456A"/>
    <w:rsid w:val="005D458A"/>
    <w:rsid w:val="005D4671"/>
    <w:rsid w:val="005D46BC"/>
    <w:rsid w:val="005D46F7"/>
    <w:rsid w:val="005D4B7E"/>
    <w:rsid w:val="005D4F3B"/>
    <w:rsid w:val="005D53E1"/>
    <w:rsid w:val="005D5485"/>
    <w:rsid w:val="005D580A"/>
    <w:rsid w:val="005D59B8"/>
    <w:rsid w:val="005D5FAE"/>
    <w:rsid w:val="005D6080"/>
    <w:rsid w:val="005D60A3"/>
    <w:rsid w:val="005D660C"/>
    <w:rsid w:val="005D7351"/>
    <w:rsid w:val="005D739A"/>
    <w:rsid w:val="005D79B4"/>
    <w:rsid w:val="005E0561"/>
    <w:rsid w:val="005E0A55"/>
    <w:rsid w:val="005E0D07"/>
    <w:rsid w:val="005E1659"/>
    <w:rsid w:val="005E23D7"/>
    <w:rsid w:val="005E2837"/>
    <w:rsid w:val="005E2B5D"/>
    <w:rsid w:val="005E3670"/>
    <w:rsid w:val="005E3FB8"/>
    <w:rsid w:val="005E50CD"/>
    <w:rsid w:val="005E5353"/>
    <w:rsid w:val="005E53CD"/>
    <w:rsid w:val="005E5FB5"/>
    <w:rsid w:val="005E60BC"/>
    <w:rsid w:val="005E68FD"/>
    <w:rsid w:val="005E6E92"/>
    <w:rsid w:val="005E742D"/>
    <w:rsid w:val="005E7661"/>
    <w:rsid w:val="005F03E1"/>
    <w:rsid w:val="005F1312"/>
    <w:rsid w:val="005F1D9E"/>
    <w:rsid w:val="005F256B"/>
    <w:rsid w:val="005F4427"/>
    <w:rsid w:val="005F4541"/>
    <w:rsid w:val="005F5005"/>
    <w:rsid w:val="005F5487"/>
    <w:rsid w:val="005F6823"/>
    <w:rsid w:val="005F69D6"/>
    <w:rsid w:val="005F6AB3"/>
    <w:rsid w:val="005F6FD7"/>
    <w:rsid w:val="005F73A5"/>
    <w:rsid w:val="005F766C"/>
    <w:rsid w:val="005F7D85"/>
    <w:rsid w:val="006001D0"/>
    <w:rsid w:val="006002E3"/>
    <w:rsid w:val="006006E3"/>
    <w:rsid w:val="00600A31"/>
    <w:rsid w:val="00600C0B"/>
    <w:rsid w:val="006010AE"/>
    <w:rsid w:val="006010FD"/>
    <w:rsid w:val="00601443"/>
    <w:rsid w:val="006015DF"/>
    <w:rsid w:val="0060165C"/>
    <w:rsid w:val="00601B29"/>
    <w:rsid w:val="006024CA"/>
    <w:rsid w:val="0060257D"/>
    <w:rsid w:val="00602A89"/>
    <w:rsid w:val="00602C07"/>
    <w:rsid w:val="00602C79"/>
    <w:rsid w:val="006032AE"/>
    <w:rsid w:val="00603403"/>
    <w:rsid w:val="00603439"/>
    <w:rsid w:val="00603587"/>
    <w:rsid w:val="006036B6"/>
    <w:rsid w:val="00603A7D"/>
    <w:rsid w:val="00603BFA"/>
    <w:rsid w:val="00603CD3"/>
    <w:rsid w:val="00604023"/>
    <w:rsid w:val="006042E9"/>
    <w:rsid w:val="0060500E"/>
    <w:rsid w:val="0060504E"/>
    <w:rsid w:val="00605131"/>
    <w:rsid w:val="0060531E"/>
    <w:rsid w:val="0060669E"/>
    <w:rsid w:val="00606F9F"/>
    <w:rsid w:val="0060754C"/>
    <w:rsid w:val="00610E98"/>
    <w:rsid w:val="0061125D"/>
    <w:rsid w:val="006119D2"/>
    <w:rsid w:val="00611A18"/>
    <w:rsid w:val="006126BC"/>
    <w:rsid w:val="00612DD7"/>
    <w:rsid w:val="0061337F"/>
    <w:rsid w:val="00613966"/>
    <w:rsid w:val="00613A34"/>
    <w:rsid w:val="00614261"/>
    <w:rsid w:val="006146AB"/>
    <w:rsid w:val="006149F8"/>
    <w:rsid w:val="00615140"/>
    <w:rsid w:val="00615207"/>
    <w:rsid w:val="00615524"/>
    <w:rsid w:val="006156AE"/>
    <w:rsid w:val="00615D86"/>
    <w:rsid w:val="0061621B"/>
    <w:rsid w:val="00616546"/>
    <w:rsid w:val="006167DF"/>
    <w:rsid w:val="00616862"/>
    <w:rsid w:val="00616C06"/>
    <w:rsid w:val="00616D5A"/>
    <w:rsid w:val="00616E3F"/>
    <w:rsid w:val="00617950"/>
    <w:rsid w:val="00617C42"/>
    <w:rsid w:val="00620263"/>
    <w:rsid w:val="006203B1"/>
    <w:rsid w:val="006203D9"/>
    <w:rsid w:val="006204E9"/>
    <w:rsid w:val="0062080F"/>
    <w:rsid w:val="00621031"/>
    <w:rsid w:val="00621115"/>
    <w:rsid w:val="00621406"/>
    <w:rsid w:val="006215CD"/>
    <w:rsid w:val="00621E63"/>
    <w:rsid w:val="00622151"/>
    <w:rsid w:val="006223BF"/>
    <w:rsid w:val="00622737"/>
    <w:rsid w:val="00622A66"/>
    <w:rsid w:val="00622AAA"/>
    <w:rsid w:val="0062343C"/>
    <w:rsid w:val="0062389B"/>
    <w:rsid w:val="00623F5F"/>
    <w:rsid w:val="0062408F"/>
    <w:rsid w:val="0062425E"/>
    <w:rsid w:val="0062435B"/>
    <w:rsid w:val="00624791"/>
    <w:rsid w:val="00624900"/>
    <w:rsid w:val="00624ECF"/>
    <w:rsid w:val="006255A2"/>
    <w:rsid w:val="006256C6"/>
    <w:rsid w:val="00625DF8"/>
    <w:rsid w:val="00626076"/>
    <w:rsid w:val="00626C89"/>
    <w:rsid w:val="0062711A"/>
    <w:rsid w:val="0062718B"/>
    <w:rsid w:val="0062770D"/>
    <w:rsid w:val="00627773"/>
    <w:rsid w:val="00627775"/>
    <w:rsid w:val="006278AC"/>
    <w:rsid w:val="00627982"/>
    <w:rsid w:val="0062798E"/>
    <w:rsid w:val="00627B8F"/>
    <w:rsid w:val="00627DB6"/>
    <w:rsid w:val="00630297"/>
    <w:rsid w:val="0063035B"/>
    <w:rsid w:val="006304DF"/>
    <w:rsid w:val="00630869"/>
    <w:rsid w:val="00630C0B"/>
    <w:rsid w:val="00631018"/>
    <w:rsid w:val="00631120"/>
    <w:rsid w:val="00631707"/>
    <w:rsid w:val="006319CA"/>
    <w:rsid w:val="00631A37"/>
    <w:rsid w:val="00631AEA"/>
    <w:rsid w:val="00631E3B"/>
    <w:rsid w:val="00631F7C"/>
    <w:rsid w:val="00632384"/>
    <w:rsid w:val="00632845"/>
    <w:rsid w:val="00632AE9"/>
    <w:rsid w:val="00633099"/>
    <w:rsid w:val="00633343"/>
    <w:rsid w:val="006333F2"/>
    <w:rsid w:val="00633818"/>
    <w:rsid w:val="006338E1"/>
    <w:rsid w:val="00633933"/>
    <w:rsid w:val="006339C5"/>
    <w:rsid w:val="00633B61"/>
    <w:rsid w:val="00633EC7"/>
    <w:rsid w:val="00634569"/>
    <w:rsid w:val="0063488B"/>
    <w:rsid w:val="0063489A"/>
    <w:rsid w:val="006349A6"/>
    <w:rsid w:val="00634BAC"/>
    <w:rsid w:val="00634FD1"/>
    <w:rsid w:val="00635796"/>
    <w:rsid w:val="0063581A"/>
    <w:rsid w:val="006359E3"/>
    <w:rsid w:val="00636138"/>
    <w:rsid w:val="006363E6"/>
    <w:rsid w:val="00637041"/>
    <w:rsid w:val="006370CB"/>
    <w:rsid w:val="0063767E"/>
    <w:rsid w:val="00637A0D"/>
    <w:rsid w:val="00637D21"/>
    <w:rsid w:val="006409C5"/>
    <w:rsid w:val="00640FDF"/>
    <w:rsid w:val="00641D60"/>
    <w:rsid w:val="0064278C"/>
    <w:rsid w:val="00642A1F"/>
    <w:rsid w:val="0064389D"/>
    <w:rsid w:val="00643A86"/>
    <w:rsid w:val="00643DDA"/>
    <w:rsid w:val="00644135"/>
    <w:rsid w:val="0064417E"/>
    <w:rsid w:val="006445B6"/>
    <w:rsid w:val="00644785"/>
    <w:rsid w:val="00644839"/>
    <w:rsid w:val="00644BD0"/>
    <w:rsid w:val="00644FEB"/>
    <w:rsid w:val="00645293"/>
    <w:rsid w:val="00645350"/>
    <w:rsid w:val="00645758"/>
    <w:rsid w:val="00645EE7"/>
    <w:rsid w:val="006461E1"/>
    <w:rsid w:val="00647035"/>
    <w:rsid w:val="006473AD"/>
    <w:rsid w:val="0064757B"/>
    <w:rsid w:val="006478FF"/>
    <w:rsid w:val="00650B64"/>
    <w:rsid w:val="00650C88"/>
    <w:rsid w:val="006510FA"/>
    <w:rsid w:val="00651231"/>
    <w:rsid w:val="006512AF"/>
    <w:rsid w:val="006513A9"/>
    <w:rsid w:val="006513EE"/>
    <w:rsid w:val="006516D8"/>
    <w:rsid w:val="00651D37"/>
    <w:rsid w:val="00652133"/>
    <w:rsid w:val="006525E0"/>
    <w:rsid w:val="006526BF"/>
    <w:rsid w:val="006527FC"/>
    <w:rsid w:val="00652EC9"/>
    <w:rsid w:val="00653004"/>
    <w:rsid w:val="00653611"/>
    <w:rsid w:val="00653A15"/>
    <w:rsid w:val="00653E39"/>
    <w:rsid w:val="00653F6F"/>
    <w:rsid w:val="006541FE"/>
    <w:rsid w:val="0065421B"/>
    <w:rsid w:val="0065577B"/>
    <w:rsid w:val="00655BFF"/>
    <w:rsid w:val="00656E8B"/>
    <w:rsid w:val="006578F4"/>
    <w:rsid w:val="0065793B"/>
    <w:rsid w:val="00657DA1"/>
    <w:rsid w:val="00661D26"/>
    <w:rsid w:val="0066202C"/>
    <w:rsid w:val="006620AC"/>
    <w:rsid w:val="006623E9"/>
    <w:rsid w:val="0066253E"/>
    <w:rsid w:val="006634CB"/>
    <w:rsid w:val="00664121"/>
    <w:rsid w:val="00664B6F"/>
    <w:rsid w:val="00664C3D"/>
    <w:rsid w:val="00665214"/>
    <w:rsid w:val="00665EE2"/>
    <w:rsid w:val="00665FE9"/>
    <w:rsid w:val="0066665F"/>
    <w:rsid w:val="00666AEE"/>
    <w:rsid w:val="00667219"/>
    <w:rsid w:val="00667478"/>
    <w:rsid w:val="006674BD"/>
    <w:rsid w:val="00667AC7"/>
    <w:rsid w:val="00667C4A"/>
    <w:rsid w:val="00667C99"/>
    <w:rsid w:val="0067008B"/>
    <w:rsid w:val="00670380"/>
    <w:rsid w:val="00670E7E"/>
    <w:rsid w:val="00670EC5"/>
    <w:rsid w:val="00670FF9"/>
    <w:rsid w:val="00671A5A"/>
    <w:rsid w:val="00671C44"/>
    <w:rsid w:val="00671D20"/>
    <w:rsid w:val="00672298"/>
    <w:rsid w:val="006726F5"/>
    <w:rsid w:val="0067393F"/>
    <w:rsid w:val="00673C5B"/>
    <w:rsid w:val="00673DBB"/>
    <w:rsid w:val="006753F8"/>
    <w:rsid w:val="0067564E"/>
    <w:rsid w:val="006759F6"/>
    <w:rsid w:val="00675AC7"/>
    <w:rsid w:val="00675D5E"/>
    <w:rsid w:val="0067615C"/>
    <w:rsid w:val="006761B8"/>
    <w:rsid w:val="0067631A"/>
    <w:rsid w:val="00676C8F"/>
    <w:rsid w:val="0067746C"/>
    <w:rsid w:val="006775B0"/>
    <w:rsid w:val="00677B0B"/>
    <w:rsid w:val="00680426"/>
    <w:rsid w:val="006807DC"/>
    <w:rsid w:val="00680C71"/>
    <w:rsid w:val="006816D5"/>
    <w:rsid w:val="00681F43"/>
    <w:rsid w:val="00681F79"/>
    <w:rsid w:val="00681FCB"/>
    <w:rsid w:val="0068220F"/>
    <w:rsid w:val="00682226"/>
    <w:rsid w:val="00682240"/>
    <w:rsid w:val="006826A9"/>
    <w:rsid w:val="00683293"/>
    <w:rsid w:val="006832CC"/>
    <w:rsid w:val="0068370D"/>
    <w:rsid w:val="00684503"/>
    <w:rsid w:val="00684518"/>
    <w:rsid w:val="00684528"/>
    <w:rsid w:val="0068484B"/>
    <w:rsid w:val="00685061"/>
    <w:rsid w:val="00685543"/>
    <w:rsid w:val="0068590C"/>
    <w:rsid w:val="0068622C"/>
    <w:rsid w:val="006863C8"/>
    <w:rsid w:val="006864FC"/>
    <w:rsid w:val="00686528"/>
    <w:rsid w:val="0068669F"/>
    <w:rsid w:val="006867C3"/>
    <w:rsid w:val="0068687C"/>
    <w:rsid w:val="00686906"/>
    <w:rsid w:val="00686912"/>
    <w:rsid w:val="00686C04"/>
    <w:rsid w:val="006870A5"/>
    <w:rsid w:val="0068719F"/>
    <w:rsid w:val="00687587"/>
    <w:rsid w:val="006900AC"/>
    <w:rsid w:val="006901A7"/>
    <w:rsid w:val="00691934"/>
    <w:rsid w:val="00691953"/>
    <w:rsid w:val="00692269"/>
    <w:rsid w:val="006924FE"/>
    <w:rsid w:val="00692A7E"/>
    <w:rsid w:val="00692B60"/>
    <w:rsid w:val="0069346D"/>
    <w:rsid w:val="00693541"/>
    <w:rsid w:val="00693AF7"/>
    <w:rsid w:val="00693B4C"/>
    <w:rsid w:val="00693D35"/>
    <w:rsid w:val="006941F1"/>
    <w:rsid w:val="00694BE1"/>
    <w:rsid w:val="00695539"/>
    <w:rsid w:val="0069572C"/>
    <w:rsid w:val="0069589C"/>
    <w:rsid w:val="00695934"/>
    <w:rsid w:val="006961AD"/>
    <w:rsid w:val="00696274"/>
    <w:rsid w:val="006962BD"/>
    <w:rsid w:val="0069659C"/>
    <w:rsid w:val="006969D0"/>
    <w:rsid w:val="006979DA"/>
    <w:rsid w:val="00697A5F"/>
    <w:rsid w:val="00697BE1"/>
    <w:rsid w:val="006A0B43"/>
    <w:rsid w:val="006A0D0E"/>
    <w:rsid w:val="006A0EA3"/>
    <w:rsid w:val="006A10EF"/>
    <w:rsid w:val="006A1190"/>
    <w:rsid w:val="006A13F5"/>
    <w:rsid w:val="006A1AF2"/>
    <w:rsid w:val="006A21F2"/>
    <w:rsid w:val="006A2407"/>
    <w:rsid w:val="006A2BBE"/>
    <w:rsid w:val="006A2FAD"/>
    <w:rsid w:val="006A3798"/>
    <w:rsid w:val="006A3E5B"/>
    <w:rsid w:val="006A4081"/>
    <w:rsid w:val="006A44DD"/>
    <w:rsid w:val="006A469A"/>
    <w:rsid w:val="006A4C36"/>
    <w:rsid w:val="006A4E4E"/>
    <w:rsid w:val="006A57E5"/>
    <w:rsid w:val="006A5CD9"/>
    <w:rsid w:val="006A6090"/>
    <w:rsid w:val="006A64D0"/>
    <w:rsid w:val="006A677F"/>
    <w:rsid w:val="006A6908"/>
    <w:rsid w:val="006A752D"/>
    <w:rsid w:val="006A7DF9"/>
    <w:rsid w:val="006A7E06"/>
    <w:rsid w:val="006B035C"/>
    <w:rsid w:val="006B0BFD"/>
    <w:rsid w:val="006B10E6"/>
    <w:rsid w:val="006B116C"/>
    <w:rsid w:val="006B1326"/>
    <w:rsid w:val="006B13DA"/>
    <w:rsid w:val="006B19DA"/>
    <w:rsid w:val="006B1A81"/>
    <w:rsid w:val="006B1AB1"/>
    <w:rsid w:val="006B1C64"/>
    <w:rsid w:val="006B1EAF"/>
    <w:rsid w:val="006B2090"/>
    <w:rsid w:val="006B211B"/>
    <w:rsid w:val="006B2EC2"/>
    <w:rsid w:val="006B38DE"/>
    <w:rsid w:val="006B3F78"/>
    <w:rsid w:val="006B43E7"/>
    <w:rsid w:val="006B4B21"/>
    <w:rsid w:val="006B4B56"/>
    <w:rsid w:val="006B4F47"/>
    <w:rsid w:val="006B50C6"/>
    <w:rsid w:val="006B5464"/>
    <w:rsid w:val="006B55A6"/>
    <w:rsid w:val="006B55FC"/>
    <w:rsid w:val="006B5849"/>
    <w:rsid w:val="006B631A"/>
    <w:rsid w:val="006B6704"/>
    <w:rsid w:val="006B6DAA"/>
    <w:rsid w:val="006C03DF"/>
    <w:rsid w:val="006C04C5"/>
    <w:rsid w:val="006C089B"/>
    <w:rsid w:val="006C0EDD"/>
    <w:rsid w:val="006C1300"/>
    <w:rsid w:val="006C16AA"/>
    <w:rsid w:val="006C1961"/>
    <w:rsid w:val="006C19DF"/>
    <w:rsid w:val="006C1B45"/>
    <w:rsid w:val="006C2078"/>
    <w:rsid w:val="006C22CA"/>
    <w:rsid w:val="006C2411"/>
    <w:rsid w:val="006C28C8"/>
    <w:rsid w:val="006C2E34"/>
    <w:rsid w:val="006C3195"/>
    <w:rsid w:val="006C3384"/>
    <w:rsid w:val="006C33D7"/>
    <w:rsid w:val="006C3C76"/>
    <w:rsid w:val="006C40F9"/>
    <w:rsid w:val="006C4248"/>
    <w:rsid w:val="006C469F"/>
    <w:rsid w:val="006C4A32"/>
    <w:rsid w:val="006C4E37"/>
    <w:rsid w:val="006C4F09"/>
    <w:rsid w:val="006C4F7C"/>
    <w:rsid w:val="006C5CF8"/>
    <w:rsid w:val="006C627F"/>
    <w:rsid w:val="006C630A"/>
    <w:rsid w:val="006C6918"/>
    <w:rsid w:val="006C6CBE"/>
    <w:rsid w:val="006C6E9D"/>
    <w:rsid w:val="006C744D"/>
    <w:rsid w:val="006C781B"/>
    <w:rsid w:val="006C7D4A"/>
    <w:rsid w:val="006D0790"/>
    <w:rsid w:val="006D083D"/>
    <w:rsid w:val="006D0CBA"/>
    <w:rsid w:val="006D1103"/>
    <w:rsid w:val="006D11B5"/>
    <w:rsid w:val="006D1F09"/>
    <w:rsid w:val="006D248F"/>
    <w:rsid w:val="006D284F"/>
    <w:rsid w:val="006D2B39"/>
    <w:rsid w:val="006D30E9"/>
    <w:rsid w:val="006D3163"/>
    <w:rsid w:val="006D34C2"/>
    <w:rsid w:val="006D3CFE"/>
    <w:rsid w:val="006D432A"/>
    <w:rsid w:val="006D48AF"/>
    <w:rsid w:val="006D5768"/>
    <w:rsid w:val="006D6388"/>
    <w:rsid w:val="006D6642"/>
    <w:rsid w:val="006D66CB"/>
    <w:rsid w:val="006D6F40"/>
    <w:rsid w:val="006D6F91"/>
    <w:rsid w:val="006D7158"/>
    <w:rsid w:val="006D7622"/>
    <w:rsid w:val="006D764B"/>
    <w:rsid w:val="006D7A64"/>
    <w:rsid w:val="006D7C49"/>
    <w:rsid w:val="006D7C8D"/>
    <w:rsid w:val="006E0151"/>
    <w:rsid w:val="006E039E"/>
    <w:rsid w:val="006E0407"/>
    <w:rsid w:val="006E0ADB"/>
    <w:rsid w:val="006E0C82"/>
    <w:rsid w:val="006E0F75"/>
    <w:rsid w:val="006E0F9D"/>
    <w:rsid w:val="006E109C"/>
    <w:rsid w:val="006E162E"/>
    <w:rsid w:val="006E16BC"/>
    <w:rsid w:val="006E1EB3"/>
    <w:rsid w:val="006E22C9"/>
    <w:rsid w:val="006E254A"/>
    <w:rsid w:val="006E2F57"/>
    <w:rsid w:val="006E2F5B"/>
    <w:rsid w:val="006E3833"/>
    <w:rsid w:val="006E3A51"/>
    <w:rsid w:val="006E3FED"/>
    <w:rsid w:val="006E44E4"/>
    <w:rsid w:val="006E4658"/>
    <w:rsid w:val="006E4734"/>
    <w:rsid w:val="006E4CF6"/>
    <w:rsid w:val="006E4D57"/>
    <w:rsid w:val="006E50FD"/>
    <w:rsid w:val="006E514D"/>
    <w:rsid w:val="006E59A1"/>
    <w:rsid w:val="006E59E0"/>
    <w:rsid w:val="006E5AAA"/>
    <w:rsid w:val="006E6031"/>
    <w:rsid w:val="006E6103"/>
    <w:rsid w:val="006F0744"/>
    <w:rsid w:val="006F0900"/>
    <w:rsid w:val="006F0F11"/>
    <w:rsid w:val="006F22B5"/>
    <w:rsid w:val="006F23BF"/>
    <w:rsid w:val="006F23E5"/>
    <w:rsid w:val="006F23F3"/>
    <w:rsid w:val="006F28CE"/>
    <w:rsid w:val="006F28DA"/>
    <w:rsid w:val="006F2DAC"/>
    <w:rsid w:val="006F2E41"/>
    <w:rsid w:val="006F2EA5"/>
    <w:rsid w:val="006F3059"/>
    <w:rsid w:val="006F32E5"/>
    <w:rsid w:val="006F4870"/>
    <w:rsid w:val="006F5331"/>
    <w:rsid w:val="006F5373"/>
    <w:rsid w:val="006F581D"/>
    <w:rsid w:val="006F5837"/>
    <w:rsid w:val="006F5B84"/>
    <w:rsid w:val="006F5DFD"/>
    <w:rsid w:val="006F66C5"/>
    <w:rsid w:val="006F6811"/>
    <w:rsid w:val="006F6F7B"/>
    <w:rsid w:val="006F74FC"/>
    <w:rsid w:val="006F786C"/>
    <w:rsid w:val="006F7ACD"/>
    <w:rsid w:val="006F7DA6"/>
    <w:rsid w:val="006F7F36"/>
    <w:rsid w:val="00700629"/>
    <w:rsid w:val="007008BA"/>
    <w:rsid w:val="00700A29"/>
    <w:rsid w:val="00701D52"/>
    <w:rsid w:val="00702283"/>
    <w:rsid w:val="00702554"/>
    <w:rsid w:val="00702688"/>
    <w:rsid w:val="007026ED"/>
    <w:rsid w:val="00702975"/>
    <w:rsid w:val="0070342E"/>
    <w:rsid w:val="007038CF"/>
    <w:rsid w:val="00703B20"/>
    <w:rsid w:val="00703E1D"/>
    <w:rsid w:val="00703E87"/>
    <w:rsid w:val="0070423D"/>
    <w:rsid w:val="007044DC"/>
    <w:rsid w:val="00704686"/>
    <w:rsid w:val="00704A95"/>
    <w:rsid w:val="00704B06"/>
    <w:rsid w:val="00705162"/>
    <w:rsid w:val="007056C1"/>
    <w:rsid w:val="00705835"/>
    <w:rsid w:val="00705AF7"/>
    <w:rsid w:val="007060E2"/>
    <w:rsid w:val="0070614A"/>
    <w:rsid w:val="007066FE"/>
    <w:rsid w:val="0070731C"/>
    <w:rsid w:val="0070731D"/>
    <w:rsid w:val="00707355"/>
    <w:rsid w:val="0070757B"/>
    <w:rsid w:val="00707801"/>
    <w:rsid w:val="0070790F"/>
    <w:rsid w:val="00710026"/>
    <w:rsid w:val="0071003B"/>
    <w:rsid w:val="00710D3F"/>
    <w:rsid w:val="00711023"/>
    <w:rsid w:val="007112AA"/>
    <w:rsid w:val="00711486"/>
    <w:rsid w:val="00711A07"/>
    <w:rsid w:val="00711DF2"/>
    <w:rsid w:val="00711EF9"/>
    <w:rsid w:val="007121EA"/>
    <w:rsid w:val="0071397A"/>
    <w:rsid w:val="007139C0"/>
    <w:rsid w:val="00713AB4"/>
    <w:rsid w:val="00713C6A"/>
    <w:rsid w:val="00714435"/>
    <w:rsid w:val="007152B6"/>
    <w:rsid w:val="007154DD"/>
    <w:rsid w:val="00715A76"/>
    <w:rsid w:val="00715D51"/>
    <w:rsid w:val="007161D0"/>
    <w:rsid w:val="00716979"/>
    <w:rsid w:val="00717277"/>
    <w:rsid w:val="00717CBE"/>
    <w:rsid w:val="00720142"/>
    <w:rsid w:val="00720560"/>
    <w:rsid w:val="0072071F"/>
    <w:rsid w:val="00720899"/>
    <w:rsid w:val="00721349"/>
    <w:rsid w:val="00721828"/>
    <w:rsid w:val="00721BB2"/>
    <w:rsid w:val="0072223F"/>
    <w:rsid w:val="00722E9C"/>
    <w:rsid w:val="00723D1F"/>
    <w:rsid w:val="007242E5"/>
    <w:rsid w:val="007244C8"/>
    <w:rsid w:val="0072470B"/>
    <w:rsid w:val="0072483F"/>
    <w:rsid w:val="007249AA"/>
    <w:rsid w:val="00724CFE"/>
    <w:rsid w:val="00724D0C"/>
    <w:rsid w:val="00725178"/>
    <w:rsid w:val="00725B05"/>
    <w:rsid w:val="007260D6"/>
    <w:rsid w:val="00726796"/>
    <w:rsid w:val="00726E26"/>
    <w:rsid w:val="0072712C"/>
    <w:rsid w:val="00727384"/>
    <w:rsid w:val="00727502"/>
    <w:rsid w:val="00727560"/>
    <w:rsid w:val="00727C0F"/>
    <w:rsid w:val="00727EA6"/>
    <w:rsid w:val="00730672"/>
    <w:rsid w:val="007309AE"/>
    <w:rsid w:val="00730D5D"/>
    <w:rsid w:val="00731268"/>
    <w:rsid w:val="007315DE"/>
    <w:rsid w:val="007317E0"/>
    <w:rsid w:val="007324FE"/>
    <w:rsid w:val="00732582"/>
    <w:rsid w:val="007327A6"/>
    <w:rsid w:val="00732E21"/>
    <w:rsid w:val="00733230"/>
    <w:rsid w:val="007332E8"/>
    <w:rsid w:val="007337F1"/>
    <w:rsid w:val="00733826"/>
    <w:rsid w:val="007338F5"/>
    <w:rsid w:val="007340FB"/>
    <w:rsid w:val="0073487C"/>
    <w:rsid w:val="00735257"/>
    <w:rsid w:val="0073537A"/>
    <w:rsid w:val="00735E4A"/>
    <w:rsid w:val="0073679A"/>
    <w:rsid w:val="00737CCD"/>
    <w:rsid w:val="00737F1C"/>
    <w:rsid w:val="00737F8D"/>
    <w:rsid w:val="00740205"/>
    <w:rsid w:val="0074090A"/>
    <w:rsid w:val="00740940"/>
    <w:rsid w:val="00740FA1"/>
    <w:rsid w:val="00741438"/>
    <w:rsid w:val="00741A2A"/>
    <w:rsid w:val="00742455"/>
    <w:rsid w:val="007425A8"/>
    <w:rsid w:val="00742D4D"/>
    <w:rsid w:val="007435A7"/>
    <w:rsid w:val="00743926"/>
    <w:rsid w:val="00743947"/>
    <w:rsid w:val="00743B76"/>
    <w:rsid w:val="00743B7A"/>
    <w:rsid w:val="007447C3"/>
    <w:rsid w:val="0074520A"/>
    <w:rsid w:val="00745D96"/>
    <w:rsid w:val="0074601E"/>
    <w:rsid w:val="007467E9"/>
    <w:rsid w:val="0074697F"/>
    <w:rsid w:val="00746EB2"/>
    <w:rsid w:val="0074713B"/>
    <w:rsid w:val="007476A2"/>
    <w:rsid w:val="00747A11"/>
    <w:rsid w:val="00747FB6"/>
    <w:rsid w:val="00750002"/>
    <w:rsid w:val="0075040F"/>
    <w:rsid w:val="0075063E"/>
    <w:rsid w:val="00750BB0"/>
    <w:rsid w:val="007515BA"/>
    <w:rsid w:val="0075168F"/>
    <w:rsid w:val="00751849"/>
    <w:rsid w:val="00751862"/>
    <w:rsid w:val="007518A7"/>
    <w:rsid w:val="00751EF2"/>
    <w:rsid w:val="0075269E"/>
    <w:rsid w:val="007527FC"/>
    <w:rsid w:val="00752CF2"/>
    <w:rsid w:val="00753768"/>
    <w:rsid w:val="00753B19"/>
    <w:rsid w:val="00753CA3"/>
    <w:rsid w:val="00753EB6"/>
    <w:rsid w:val="00754823"/>
    <w:rsid w:val="007549E7"/>
    <w:rsid w:val="00755003"/>
    <w:rsid w:val="00755F5E"/>
    <w:rsid w:val="007562EB"/>
    <w:rsid w:val="00756B85"/>
    <w:rsid w:val="00756FD0"/>
    <w:rsid w:val="0076022A"/>
    <w:rsid w:val="00760521"/>
    <w:rsid w:val="00760790"/>
    <w:rsid w:val="00760E48"/>
    <w:rsid w:val="00761256"/>
    <w:rsid w:val="007615ED"/>
    <w:rsid w:val="0076172A"/>
    <w:rsid w:val="0076194E"/>
    <w:rsid w:val="00761E6E"/>
    <w:rsid w:val="007622DB"/>
    <w:rsid w:val="007625A0"/>
    <w:rsid w:val="007625B2"/>
    <w:rsid w:val="00762836"/>
    <w:rsid w:val="00763188"/>
    <w:rsid w:val="007632AA"/>
    <w:rsid w:val="00763376"/>
    <w:rsid w:val="0076397C"/>
    <w:rsid w:val="00763D0E"/>
    <w:rsid w:val="007645E8"/>
    <w:rsid w:val="007648AE"/>
    <w:rsid w:val="007648FB"/>
    <w:rsid w:val="00764E45"/>
    <w:rsid w:val="007650BC"/>
    <w:rsid w:val="00765121"/>
    <w:rsid w:val="00765153"/>
    <w:rsid w:val="007657F6"/>
    <w:rsid w:val="007658D6"/>
    <w:rsid w:val="0076596B"/>
    <w:rsid w:val="00765B16"/>
    <w:rsid w:val="00765DA1"/>
    <w:rsid w:val="007668E8"/>
    <w:rsid w:val="00766CEB"/>
    <w:rsid w:val="00767182"/>
    <w:rsid w:val="007673D1"/>
    <w:rsid w:val="0076797C"/>
    <w:rsid w:val="007679BF"/>
    <w:rsid w:val="00767B9B"/>
    <w:rsid w:val="00770D45"/>
    <w:rsid w:val="00770F6F"/>
    <w:rsid w:val="0077119B"/>
    <w:rsid w:val="007711DA"/>
    <w:rsid w:val="007711F5"/>
    <w:rsid w:val="0077162B"/>
    <w:rsid w:val="00771A8E"/>
    <w:rsid w:val="00771AD6"/>
    <w:rsid w:val="00771D1D"/>
    <w:rsid w:val="00771F37"/>
    <w:rsid w:val="007721CD"/>
    <w:rsid w:val="00772220"/>
    <w:rsid w:val="007723C6"/>
    <w:rsid w:val="0077288A"/>
    <w:rsid w:val="007729FC"/>
    <w:rsid w:val="00772D04"/>
    <w:rsid w:val="00773857"/>
    <w:rsid w:val="00773A20"/>
    <w:rsid w:val="00773ABA"/>
    <w:rsid w:val="0077416C"/>
    <w:rsid w:val="00774508"/>
    <w:rsid w:val="007748D4"/>
    <w:rsid w:val="00774C0B"/>
    <w:rsid w:val="007751CD"/>
    <w:rsid w:val="007753A0"/>
    <w:rsid w:val="00776062"/>
    <w:rsid w:val="007766A7"/>
    <w:rsid w:val="0077677B"/>
    <w:rsid w:val="00776D94"/>
    <w:rsid w:val="00776F72"/>
    <w:rsid w:val="00777233"/>
    <w:rsid w:val="007774E8"/>
    <w:rsid w:val="00777B4C"/>
    <w:rsid w:val="00777D0F"/>
    <w:rsid w:val="00780307"/>
    <w:rsid w:val="0078053F"/>
    <w:rsid w:val="007807A2"/>
    <w:rsid w:val="00780BD5"/>
    <w:rsid w:val="00780FD9"/>
    <w:rsid w:val="00780FEF"/>
    <w:rsid w:val="007812FA"/>
    <w:rsid w:val="0078146D"/>
    <w:rsid w:val="007818FF"/>
    <w:rsid w:val="00781EB0"/>
    <w:rsid w:val="0078278B"/>
    <w:rsid w:val="00782E1C"/>
    <w:rsid w:val="00783CEB"/>
    <w:rsid w:val="00783F9B"/>
    <w:rsid w:val="0078455E"/>
    <w:rsid w:val="00784613"/>
    <w:rsid w:val="00784820"/>
    <w:rsid w:val="00785524"/>
    <w:rsid w:val="0078631E"/>
    <w:rsid w:val="00786A1D"/>
    <w:rsid w:val="00786EC7"/>
    <w:rsid w:val="00787ADF"/>
    <w:rsid w:val="00787C70"/>
    <w:rsid w:val="00787E25"/>
    <w:rsid w:val="00787E67"/>
    <w:rsid w:val="00790295"/>
    <w:rsid w:val="007906C5"/>
    <w:rsid w:val="00790E72"/>
    <w:rsid w:val="0079171C"/>
    <w:rsid w:val="007919A4"/>
    <w:rsid w:val="00791C2C"/>
    <w:rsid w:val="0079288F"/>
    <w:rsid w:val="00792DD7"/>
    <w:rsid w:val="00793898"/>
    <w:rsid w:val="00793D65"/>
    <w:rsid w:val="007940B1"/>
    <w:rsid w:val="007943A5"/>
    <w:rsid w:val="0079454B"/>
    <w:rsid w:val="007948B2"/>
    <w:rsid w:val="007948E7"/>
    <w:rsid w:val="00794A36"/>
    <w:rsid w:val="0079516D"/>
    <w:rsid w:val="00795864"/>
    <w:rsid w:val="00796D9E"/>
    <w:rsid w:val="00796E30"/>
    <w:rsid w:val="007974FC"/>
    <w:rsid w:val="00797B39"/>
    <w:rsid w:val="007A0305"/>
    <w:rsid w:val="007A0795"/>
    <w:rsid w:val="007A0B2F"/>
    <w:rsid w:val="007A0C31"/>
    <w:rsid w:val="007A0D5E"/>
    <w:rsid w:val="007A128F"/>
    <w:rsid w:val="007A1638"/>
    <w:rsid w:val="007A1771"/>
    <w:rsid w:val="007A1A16"/>
    <w:rsid w:val="007A2113"/>
    <w:rsid w:val="007A217C"/>
    <w:rsid w:val="007A22E3"/>
    <w:rsid w:val="007A23F2"/>
    <w:rsid w:val="007A24A9"/>
    <w:rsid w:val="007A25F3"/>
    <w:rsid w:val="007A2695"/>
    <w:rsid w:val="007A3611"/>
    <w:rsid w:val="007A422C"/>
    <w:rsid w:val="007A4AA7"/>
    <w:rsid w:val="007A4AFC"/>
    <w:rsid w:val="007A4FA6"/>
    <w:rsid w:val="007A59A7"/>
    <w:rsid w:val="007A5D2F"/>
    <w:rsid w:val="007A5E58"/>
    <w:rsid w:val="007A5F12"/>
    <w:rsid w:val="007A5FB9"/>
    <w:rsid w:val="007A61BF"/>
    <w:rsid w:val="007A6342"/>
    <w:rsid w:val="007A6568"/>
    <w:rsid w:val="007A662F"/>
    <w:rsid w:val="007A696F"/>
    <w:rsid w:val="007A6F03"/>
    <w:rsid w:val="007A7398"/>
    <w:rsid w:val="007A74B0"/>
    <w:rsid w:val="007A7903"/>
    <w:rsid w:val="007B0D31"/>
    <w:rsid w:val="007B10B9"/>
    <w:rsid w:val="007B1192"/>
    <w:rsid w:val="007B1E34"/>
    <w:rsid w:val="007B1F94"/>
    <w:rsid w:val="007B2390"/>
    <w:rsid w:val="007B265F"/>
    <w:rsid w:val="007B3025"/>
    <w:rsid w:val="007B31D8"/>
    <w:rsid w:val="007B348E"/>
    <w:rsid w:val="007B3605"/>
    <w:rsid w:val="007B3920"/>
    <w:rsid w:val="007B4D64"/>
    <w:rsid w:val="007B4E71"/>
    <w:rsid w:val="007B4F74"/>
    <w:rsid w:val="007B515C"/>
    <w:rsid w:val="007B5DFF"/>
    <w:rsid w:val="007B5E49"/>
    <w:rsid w:val="007B63C1"/>
    <w:rsid w:val="007B6571"/>
    <w:rsid w:val="007B6749"/>
    <w:rsid w:val="007B68F5"/>
    <w:rsid w:val="007B6AD3"/>
    <w:rsid w:val="007B760F"/>
    <w:rsid w:val="007B7660"/>
    <w:rsid w:val="007B7810"/>
    <w:rsid w:val="007B78A3"/>
    <w:rsid w:val="007B7D52"/>
    <w:rsid w:val="007B7E76"/>
    <w:rsid w:val="007C01F9"/>
    <w:rsid w:val="007C0940"/>
    <w:rsid w:val="007C0B01"/>
    <w:rsid w:val="007C0F2F"/>
    <w:rsid w:val="007C2263"/>
    <w:rsid w:val="007C2ED9"/>
    <w:rsid w:val="007C30E6"/>
    <w:rsid w:val="007C3434"/>
    <w:rsid w:val="007C3684"/>
    <w:rsid w:val="007C4392"/>
    <w:rsid w:val="007C4860"/>
    <w:rsid w:val="007C4920"/>
    <w:rsid w:val="007C4971"/>
    <w:rsid w:val="007C4AB6"/>
    <w:rsid w:val="007C4BC4"/>
    <w:rsid w:val="007C5046"/>
    <w:rsid w:val="007C51B5"/>
    <w:rsid w:val="007C5812"/>
    <w:rsid w:val="007C5B56"/>
    <w:rsid w:val="007C61F7"/>
    <w:rsid w:val="007C6B2C"/>
    <w:rsid w:val="007C6C9A"/>
    <w:rsid w:val="007C6F59"/>
    <w:rsid w:val="007C7552"/>
    <w:rsid w:val="007C7560"/>
    <w:rsid w:val="007C7B4C"/>
    <w:rsid w:val="007C7F46"/>
    <w:rsid w:val="007D018E"/>
    <w:rsid w:val="007D021C"/>
    <w:rsid w:val="007D0419"/>
    <w:rsid w:val="007D07E5"/>
    <w:rsid w:val="007D0CFE"/>
    <w:rsid w:val="007D0F1F"/>
    <w:rsid w:val="007D1A0D"/>
    <w:rsid w:val="007D1C74"/>
    <w:rsid w:val="007D3276"/>
    <w:rsid w:val="007D3395"/>
    <w:rsid w:val="007D3578"/>
    <w:rsid w:val="007D396B"/>
    <w:rsid w:val="007D3FAC"/>
    <w:rsid w:val="007D4460"/>
    <w:rsid w:val="007D448B"/>
    <w:rsid w:val="007D45C9"/>
    <w:rsid w:val="007D45FE"/>
    <w:rsid w:val="007D46AC"/>
    <w:rsid w:val="007D4762"/>
    <w:rsid w:val="007D4890"/>
    <w:rsid w:val="007D4961"/>
    <w:rsid w:val="007D50D2"/>
    <w:rsid w:val="007D55FF"/>
    <w:rsid w:val="007D578B"/>
    <w:rsid w:val="007D5B02"/>
    <w:rsid w:val="007D5E52"/>
    <w:rsid w:val="007D6125"/>
    <w:rsid w:val="007D6315"/>
    <w:rsid w:val="007D6B13"/>
    <w:rsid w:val="007D71DA"/>
    <w:rsid w:val="007D730F"/>
    <w:rsid w:val="007D7391"/>
    <w:rsid w:val="007D762C"/>
    <w:rsid w:val="007D772C"/>
    <w:rsid w:val="007D790D"/>
    <w:rsid w:val="007D7AF3"/>
    <w:rsid w:val="007D7F1F"/>
    <w:rsid w:val="007E1482"/>
    <w:rsid w:val="007E2432"/>
    <w:rsid w:val="007E305D"/>
    <w:rsid w:val="007E33E2"/>
    <w:rsid w:val="007E37D0"/>
    <w:rsid w:val="007E3B1F"/>
    <w:rsid w:val="007E3B9E"/>
    <w:rsid w:val="007E4C47"/>
    <w:rsid w:val="007E556C"/>
    <w:rsid w:val="007E5A00"/>
    <w:rsid w:val="007E5E79"/>
    <w:rsid w:val="007E5FAB"/>
    <w:rsid w:val="007E6373"/>
    <w:rsid w:val="007E6941"/>
    <w:rsid w:val="007E6A5B"/>
    <w:rsid w:val="007E6BB9"/>
    <w:rsid w:val="007E70A1"/>
    <w:rsid w:val="007E710B"/>
    <w:rsid w:val="007E7209"/>
    <w:rsid w:val="007E7388"/>
    <w:rsid w:val="007E7604"/>
    <w:rsid w:val="007E7833"/>
    <w:rsid w:val="007F0266"/>
    <w:rsid w:val="007F0D33"/>
    <w:rsid w:val="007F10C5"/>
    <w:rsid w:val="007F131A"/>
    <w:rsid w:val="007F16AB"/>
    <w:rsid w:val="007F1D01"/>
    <w:rsid w:val="007F2B88"/>
    <w:rsid w:val="007F2B94"/>
    <w:rsid w:val="007F3223"/>
    <w:rsid w:val="007F3570"/>
    <w:rsid w:val="007F4148"/>
    <w:rsid w:val="007F4A12"/>
    <w:rsid w:val="007F4B5C"/>
    <w:rsid w:val="007F4CEB"/>
    <w:rsid w:val="007F4F0E"/>
    <w:rsid w:val="007F5591"/>
    <w:rsid w:val="007F55F0"/>
    <w:rsid w:val="007F5C34"/>
    <w:rsid w:val="007F5CFC"/>
    <w:rsid w:val="007F62FE"/>
    <w:rsid w:val="007F6343"/>
    <w:rsid w:val="007F6796"/>
    <w:rsid w:val="007F6C67"/>
    <w:rsid w:val="007F6E06"/>
    <w:rsid w:val="007F6E44"/>
    <w:rsid w:val="007F6E80"/>
    <w:rsid w:val="007F726D"/>
    <w:rsid w:val="007F74EC"/>
    <w:rsid w:val="007F793F"/>
    <w:rsid w:val="007F7D5A"/>
    <w:rsid w:val="00800687"/>
    <w:rsid w:val="00800993"/>
    <w:rsid w:val="008010E4"/>
    <w:rsid w:val="00801226"/>
    <w:rsid w:val="008012BD"/>
    <w:rsid w:val="00801EE4"/>
    <w:rsid w:val="0080230D"/>
    <w:rsid w:val="008028A3"/>
    <w:rsid w:val="00802901"/>
    <w:rsid w:val="00803B70"/>
    <w:rsid w:val="00804029"/>
    <w:rsid w:val="008059EE"/>
    <w:rsid w:val="00805AD9"/>
    <w:rsid w:val="0080610C"/>
    <w:rsid w:val="00806714"/>
    <w:rsid w:val="00806D91"/>
    <w:rsid w:val="00806E93"/>
    <w:rsid w:val="00806ECE"/>
    <w:rsid w:val="008101FB"/>
    <w:rsid w:val="00810413"/>
    <w:rsid w:val="0081079C"/>
    <w:rsid w:val="00810ECE"/>
    <w:rsid w:val="00810F2F"/>
    <w:rsid w:val="00810F99"/>
    <w:rsid w:val="00811007"/>
    <w:rsid w:val="0081105C"/>
    <w:rsid w:val="00811109"/>
    <w:rsid w:val="00811184"/>
    <w:rsid w:val="0081376A"/>
    <w:rsid w:val="00813A9C"/>
    <w:rsid w:val="00813C09"/>
    <w:rsid w:val="00813C8B"/>
    <w:rsid w:val="00814592"/>
    <w:rsid w:val="008149E0"/>
    <w:rsid w:val="00814C86"/>
    <w:rsid w:val="00814FC4"/>
    <w:rsid w:val="00815155"/>
    <w:rsid w:val="00815586"/>
    <w:rsid w:val="00815C4A"/>
    <w:rsid w:val="00815D05"/>
    <w:rsid w:val="00815FF0"/>
    <w:rsid w:val="0081611A"/>
    <w:rsid w:val="0081676A"/>
    <w:rsid w:val="00816DA0"/>
    <w:rsid w:val="00817CA2"/>
    <w:rsid w:val="00820636"/>
    <w:rsid w:val="0082099F"/>
    <w:rsid w:val="00820AAF"/>
    <w:rsid w:val="00820AD9"/>
    <w:rsid w:val="00820B89"/>
    <w:rsid w:val="00820F7C"/>
    <w:rsid w:val="008210E1"/>
    <w:rsid w:val="00821109"/>
    <w:rsid w:val="008215C1"/>
    <w:rsid w:val="008218E0"/>
    <w:rsid w:val="00822789"/>
    <w:rsid w:val="00822EAF"/>
    <w:rsid w:val="00823E11"/>
    <w:rsid w:val="00824401"/>
    <w:rsid w:val="0082539B"/>
    <w:rsid w:val="008256AE"/>
    <w:rsid w:val="008259DC"/>
    <w:rsid w:val="008262B1"/>
    <w:rsid w:val="00827B61"/>
    <w:rsid w:val="00830500"/>
    <w:rsid w:val="00830D4B"/>
    <w:rsid w:val="0083100F"/>
    <w:rsid w:val="0083129F"/>
    <w:rsid w:val="00831B20"/>
    <w:rsid w:val="0083338C"/>
    <w:rsid w:val="00833A26"/>
    <w:rsid w:val="00833B5E"/>
    <w:rsid w:val="00834125"/>
    <w:rsid w:val="008341A8"/>
    <w:rsid w:val="008345B3"/>
    <w:rsid w:val="00834825"/>
    <w:rsid w:val="00835A1D"/>
    <w:rsid w:val="00835D4B"/>
    <w:rsid w:val="00835FC9"/>
    <w:rsid w:val="00836E1F"/>
    <w:rsid w:val="00837136"/>
    <w:rsid w:val="00837D35"/>
    <w:rsid w:val="00840479"/>
    <w:rsid w:val="008404B4"/>
    <w:rsid w:val="008404C1"/>
    <w:rsid w:val="0084115D"/>
    <w:rsid w:val="00841215"/>
    <w:rsid w:val="008415E5"/>
    <w:rsid w:val="008420A9"/>
    <w:rsid w:val="008423B6"/>
    <w:rsid w:val="00842892"/>
    <w:rsid w:val="00842A5E"/>
    <w:rsid w:val="00842CE7"/>
    <w:rsid w:val="00842FD6"/>
    <w:rsid w:val="0084304F"/>
    <w:rsid w:val="00843573"/>
    <w:rsid w:val="0084400E"/>
    <w:rsid w:val="0084419B"/>
    <w:rsid w:val="00844284"/>
    <w:rsid w:val="0084430E"/>
    <w:rsid w:val="0084466B"/>
    <w:rsid w:val="00845A4B"/>
    <w:rsid w:val="0084623A"/>
    <w:rsid w:val="008465D9"/>
    <w:rsid w:val="008468C2"/>
    <w:rsid w:val="00847532"/>
    <w:rsid w:val="008476E9"/>
    <w:rsid w:val="0085014F"/>
    <w:rsid w:val="008505D9"/>
    <w:rsid w:val="0085066C"/>
    <w:rsid w:val="0085089D"/>
    <w:rsid w:val="00850E99"/>
    <w:rsid w:val="00850F17"/>
    <w:rsid w:val="008517FA"/>
    <w:rsid w:val="00851916"/>
    <w:rsid w:val="00851A0E"/>
    <w:rsid w:val="0085288B"/>
    <w:rsid w:val="00852B2B"/>
    <w:rsid w:val="008532D9"/>
    <w:rsid w:val="008532F3"/>
    <w:rsid w:val="0085346F"/>
    <w:rsid w:val="00853B20"/>
    <w:rsid w:val="00853B6D"/>
    <w:rsid w:val="00853CCC"/>
    <w:rsid w:val="00853D4C"/>
    <w:rsid w:val="00854352"/>
    <w:rsid w:val="00856160"/>
    <w:rsid w:val="008575FC"/>
    <w:rsid w:val="00857774"/>
    <w:rsid w:val="00857E15"/>
    <w:rsid w:val="008600CB"/>
    <w:rsid w:val="008603AF"/>
    <w:rsid w:val="0086068B"/>
    <w:rsid w:val="008609E2"/>
    <w:rsid w:val="00860BCC"/>
    <w:rsid w:val="008610FB"/>
    <w:rsid w:val="00861321"/>
    <w:rsid w:val="008613C8"/>
    <w:rsid w:val="00861540"/>
    <w:rsid w:val="0086171F"/>
    <w:rsid w:val="008617FA"/>
    <w:rsid w:val="00861F4B"/>
    <w:rsid w:val="00862078"/>
    <w:rsid w:val="008624A2"/>
    <w:rsid w:val="008627AF"/>
    <w:rsid w:val="008628AA"/>
    <w:rsid w:val="00862B74"/>
    <w:rsid w:val="00863024"/>
    <w:rsid w:val="0086319A"/>
    <w:rsid w:val="008636A1"/>
    <w:rsid w:val="008640B0"/>
    <w:rsid w:val="0086419C"/>
    <w:rsid w:val="008650D2"/>
    <w:rsid w:val="00865A57"/>
    <w:rsid w:val="00865F31"/>
    <w:rsid w:val="00866695"/>
    <w:rsid w:val="00866962"/>
    <w:rsid w:val="00866C17"/>
    <w:rsid w:val="00866C43"/>
    <w:rsid w:val="00866E35"/>
    <w:rsid w:val="008671D1"/>
    <w:rsid w:val="008675DC"/>
    <w:rsid w:val="00867A27"/>
    <w:rsid w:val="00867D1D"/>
    <w:rsid w:val="008701EA"/>
    <w:rsid w:val="008704E7"/>
    <w:rsid w:val="00870943"/>
    <w:rsid w:val="00870AA7"/>
    <w:rsid w:val="00871064"/>
    <w:rsid w:val="008712F8"/>
    <w:rsid w:val="008714F9"/>
    <w:rsid w:val="008718EA"/>
    <w:rsid w:val="00871B90"/>
    <w:rsid w:val="00871C53"/>
    <w:rsid w:val="0087255F"/>
    <w:rsid w:val="008726B2"/>
    <w:rsid w:val="00872A6B"/>
    <w:rsid w:val="00872FE2"/>
    <w:rsid w:val="0087355E"/>
    <w:rsid w:val="00873688"/>
    <w:rsid w:val="00873737"/>
    <w:rsid w:val="00873A26"/>
    <w:rsid w:val="00873A81"/>
    <w:rsid w:val="00873E44"/>
    <w:rsid w:val="0087406F"/>
    <w:rsid w:val="0087413D"/>
    <w:rsid w:val="008742E7"/>
    <w:rsid w:val="008742F0"/>
    <w:rsid w:val="0087482F"/>
    <w:rsid w:val="008748B3"/>
    <w:rsid w:val="0087496A"/>
    <w:rsid w:val="00874E69"/>
    <w:rsid w:val="00875221"/>
    <w:rsid w:val="0087530C"/>
    <w:rsid w:val="008753B7"/>
    <w:rsid w:val="00875E76"/>
    <w:rsid w:val="00876138"/>
    <w:rsid w:val="00876A0D"/>
    <w:rsid w:val="00877507"/>
    <w:rsid w:val="00877527"/>
    <w:rsid w:val="00877CA4"/>
    <w:rsid w:val="0088011D"/>
    <w:rsid w:val="0088034F"/>
    <w:rsid w:val="00880616"/>
    <w:rsid w:val="00880EC5"/>
    <w:rsid w:val="00880F1E"/>
    <w:rsid w:val="00881429"/>
    <w:rsid w:val="008814A6"/>
    <w:rsid w:val="00881893"/>
    <w:rsid w:val="00881C98"/>
    <w:rsid w:val="00881DDB"/>
    <w:rsid w:val="00881F0E"/>
    <w:rsid w:val="00881F26"/>
    <w:rsid w:val="008821C1"/>
    <w:rsid w:val="0088227D"/>
    <w:rsid w:val="0088228D"/>
    <w:rsid w:val="008822C2"/>
    <w:rsid w:val="0088246D"/>
    <w:rsid w:val="0088296B"/>
    <w:rsid w:val="008831A0"/>
    <w:rsid w:val="0088343C"/>
    <w:rsid w:val="0088360D"/>
    <w:rsid w:val="008838F2"/>
    <w:rsid w:val="00883B3C"/>
    <w:rsid w:val="00883F4E"/>
    <w:rsid w:val="008849BD"/>
    <w:rsid w:val="008849CA"/>
    <w:rsid w:val="00884A20"/>
    <w:rsid w:val="00884A8B"/>
    <w:rsid w:val="00884FD2"/>
    <w:rsid w:val="00884FFF"/>
    <w:rsid w:val="008867AC"/>
    <w:rsid w:val="00886B93"/>
    <w:rsid w:val="00887593"/>
    <w:rsid w:val="00887AC2"/>
    <w:rsid w:val="00890478"/>
    <w:rsid w:val="00890543"/>
    <w:rsid w:val="0089074F"/>
    <w:rsid w:val="00890DC2"/>
    <w:rsid w:val="00890F9B"/>
    <w:rsid w:val="00891544"/>
    <w:rsid w:val="0089172E"/>
    <w:rsid w:val="00891966"/>
    <w:rsid w:val="00891A87"/>
    <w:rsid w:val="00891FD7"/>
    <w:rsid w:val="0089204E"/>
    <w:rsid w:val="00892467"/>
    <w:rsid w:val="00892548"/>
    <w:rsid w:val="0089275A"/>
    <w:rsid w:val="00892F93"/>
    <w:rsid w:val="00893E6F"/>
    <w:rsid w:val="00893EC7"/>
    <w:rsid w:val="00894563"/>
    <w:rsid w:val="008945A6"/>
    <w:rsid w:val="008948C9"/>
    <w:rsid w:val="008948E1"/>
    <w:rsid w:val="00895D5B"/>
    <w:rsid w:val="00896705"/>
    <w:rsid w:val="00896FFE"/>
    <w:rsid w:val="008970C4"/>
    <w:rsid w:val="008972EB"/>
    <w:rsid w:val="008973C5"/>
    <w:rsid w:val="00897545"/>
    <w:rsid w:val="00897CE5"/>
    <w:rsid w:val="00897FDD"/>
    <w:rsid w:val="008A01C1"/>
    <w:rsid w:val="008A03E8"/>
    <w:rsid w:val="008A051F"/>
    <w:rsid w:val="008A069A"/>
    <w:rsid w:val="008A101A"/>
    <w:rsid w:val="008A1E6C"/>
    <w:rsid w:val="008A24E1"/>
    <w:rsid w:val="008A25CC"/>
    <w:rsid w:val="008A2BD9"/>
    <w:rsid w:val="008A3550"/>
    <w:rsid w:val="008A3823"/>
    <w:rsid w:val="008A3EBF"/>
    <w:rsid w:val="008A3FE5"/>
    <w:rsid w:val="008A4817"/>
    <w:rsid w:val="008A4A24"/>
    <w:rsid w:val="008A4A46"/>
    <w:rsid w:val="008A4C95"/>
    <w:rsid w:val="008A4FB1"/>
    <w:rsid w:val="008A5A00"/>
    <w:rsid w:val="008A5A75"/>
    <w:rsid w:val="008A5F3C"/>
    <w:rsid w:val="008A7179"/>
    <w:rsid w:val="008A7240"/>
    <w:rsid w:val="008A75C5"/>
    <w:rsid w:val="008A7D7A"/>
    <w:rsid w:val="008B0632"/>
    <w:rsid w:val="008B06E5"/>
    <w:rsid w:val="008B0859"/>
    <w:rsid w:val="008B0ADB"/>
    <w:rsid w:val="008B0CDC"/>
    <w:rsid w:val="008B0FCE"/>
    <w:rsid w:val="008B1016"/>
    <w:rsid w:val="008B1165"/>
    <w:rsid w:val="008B1292"/>
    <w:rsid w:val="008B1A20"/>
    <w:rsid w:val="008B1B1C"/>
    <w:rsid w:val="008B23FF"/>
    <w:rsid w:val="008B29C2"/>
    <w:rsid w:val="008B2B36"/>
    <w:rsid w:val="008B2FAC"/>
    <w:rsid w:val="008B3409"/>
    <w:rsid w:val="008B39DC"/>
    <w:rsid w:val="008B452A"/>
    <w:rsid w:val="008B4885"/>
    <w:rsid w:val="008B4C1A"/>
    <w:rsid w:val="008B50A8"/>
    <w:rsid w:val="008B54D1"/>
    <w:rsid w:val="008B584F"/>
    <w:rsid w:val="008B5BEE"/>
    <w:rsid w:val="008B6170"/>
    <w:rsid w:val="008B6549"/>
    <w:rsid w:val="008B67F5"/>
    <w:rsid w:val="008B6FCD"/>
    <w:rsid w:val="008B7970"/>
    <w:rsid w:val="008C038C"/>
    <w:rsid w:val="008C059D"/>
    <w:rsid w:val="008C10EA"/>
    <w:rsid w:val="008C15EA"/>
    <w:rsid w:val="008C17A9"/>
    <w:rsid w:val="008C18A0"/>
    <w:rsid w:val="008C1C17"/>
    <w:rsid w:val="008C36BD"/>
    <w:rsid w:val="008C3D3E"/>
    <w:rsid w:val="008C3D72"/>
    <w:rsid w:val="008C3E6E"/>
    <w:rsid w:val="008C3E7A"/>
    <w:rsid w:val="008C465E"/>
    <w:rsid w:val="008C4EEE"/>
    <w:rsid w:val="008C50A7"/>
    <w:rsid w:val="008C5185"/>
    <w:rsid w:val="008C51C9"/>
    <w:rsid w:val="008C54C4"/>
    <w:rsid w:val="008C578B"/>
    <w:rsid w:val="008C5B98"/>
    <w:rsid w:val="008C5FD4"/>
    <w:rsid w:val="008C61C4"/>
    <w:rsid w:val="008C6595"/>
    <w:rsid w:val="008C67FB"/>
    <w:rsid w:val="008C6912"/>
    <w:rsid w:val="008C6914"/>
    <w:rsid w:val="008C6D97"/>
    <w:rsid w:val="008C6E77"/>
    <w:rsid w:val="008C7F65"/>
    <w:rsid w:val="008D018E"/>
    <w:rsid w:val="008D090C"/>
    <w:rsid w:val="008D115E"/>
    <w:rsid w:val="008D1867"/>
    <w:rsid w:val="008D1A55"/>
    <w:rsid w:val="008D1AB6"/>
    <w:rsid w:val="008D1B65"/>
    <w:rsid w:val="008D1E55"/>
    <w:rsid w:val="008D22DA"/>
    <w:rsid w:val="008D2487"/>
    <w:rsid w:val="008D2531"/>
    <w:rsid w:val="008D2717"/>
    <w:rsid w:val="008D2A66"/>
    <w:rsid w:val="008D2DF0"/>
    <w:rsid w:val="008D3687"/>
    <w:rsid w:val="008D36AF"/>
    <w:rsid w:val="008D376B"/>
    <w:rsid w:val="008D399F"/>
    <w:rsid w:val="008D3B4A"/>
    <w:rsid w:val="008D3F6F"/>
    <w:rsid w:val="008D4226"/>
    <w:rsid w:val="008D42C3"/>
    <w:rsid w:val="008D43B4"/>
    <w:rsid w:val="008D4A6A"/>
    <w:rsid w:val="008D5BA3"/>
    <w:rsid w:val="008D5C70"/>
    <w:rsid w:val="008D699F"/>
    <w:rsid w:val="008D6C84"/>
    <w:rsid w:val="008D71BE"/>
    <w:rsid w:val="008D764C"/>
    <w:rsid w:val="008D7778"/>
    <w:rsid w:val="008E001B"/>
    <w:rsid w:val="008E03A5"/>
    <w:rsid w:val="008E043C"/>
    <w:rsid w:val="008E0683"/>
    <w:rsid w:val="008E06B5"/>
    <w:rsid w:val="008E08B5"/>
    <w:rsid w:val="008E0A88"/>
    <w:rsid w:val="008E1270"/>
    <w:rsid w:val="008E1B12"/>
    <w:rsid w:val="008E207B"/>
    <w:rsid w:val="008E2417"/>
    <w:rsid w:val="008E2813"/>
    <w:rsid w:val="008E2D84"/>
    <w:rsid w:val="008E3482"/>
    <w:rsid w:val="008E3D1E"/>
    <w:rsid w:val="008E3E3E"/>
    <w:rsid w:val="008E3E42"/>
    <w:rsid w:val="008E3EB0"/>
    <w:rsid w:val="008E4020"/>
    <w:rsid w:val="008E4A9A"/>
    <w:rsid w:val="008E4EEA"/>
    <w:rsid w:val="008E5085"/>
    <w:rsid w:val="008E5B19"/>
    <w:rsid w:val="008E5D25"/>
    <w:rsid w:val="008E608D"/>
    <w:rsid w:val="008E608E"/>
    <w:rsid w:val="008E6101"/>
    <w:rsid w:val="008E6403"/>
    <w:rsid w:val="008E6853"/>
    <w:rsid w:val="008E6BD1"/>
    <w:rsid w:val="008E6CE2"/>
    <w:rsid w:val="008E71B2"/>
    <w:rsid w:val="008E74DF"/>
    <w:rsid w:val="008E776D"/>
    <w:rsid w:val="008F02B8"/>
    <w:rsid w:val="008F0B77"/>
    <w:rsid w:val="008F0BF6"/>
    <w:rsid w:val="008F0CC7"/>
    <w:rsid w:val="008F10E4"/>
    <w:rsid w:val="008F1384"/>
    <w:rsid w:val="008F1651"/>
    <w:rsid w:val="008F1C06"/>
    <w:rsid w:val="008F1DCD"/>
    <w:rsid w:val="008F2180"/>
    <w:rsid w:val="008F2416"/>
    <w:rsid w:val="008F2761"/>
    <w:rsid w:val="008F28D7"/>
    <w:rsid w:val="008F2B36"/>
    <w:rsid w:val="008F2D49"/>
    <w:rsid w:val="008F3590"/>
    <w:rsid w:val="008F4433"/>
    <w:rsid w:val="008F4501"/>
    <w:rsid w:val="008F4650"/>
    <w:rsid w:val="008F53D7"/>
    <w:rsid w:val="008F57AD"/>
    <w:rsid w:val="008F599A"/>
    <w:rsid w:val="008F5D52"/>
    <w:rsid w:val="008F5EC6"/>
    <w:rsid w:val="008F657C"/>
    <w:rsid w:val="008F69A2"/>
    <w:rsid w:val="008F6C3D"/>
    <w:rsid w:val="008F6DA3"/>
    <w:rsid w:val="008F7053"/>
    <w:rsid w:val="008F75A6"/>
    <w:rsid w:val="008F7CB7"/>
    <w:rsid w:val="008F7EE7"/>
    <w:rsid w:val="00900809"/>
    <w:rsid w:val="00901805"/>
    <w:rsid w:val="00901D13"/>
    <w:rsid w:val="00901E12"/>
    <w:rsid w:val="009031E4"/>
    <w:rsid w:val="0090473F"/>
    <w:rsid w:val="009048DF"/>
    <w:rsid w:val="009049FE"/>
    <w:rsid w:val="00905076"/>
    <w:rsid w:val="00905696"/>
    <w:rsid w:val="00905709"/>
    <w:rsid w:val="0090571C"/>
    <w:rsid w:val="00906096"/>
    <w:rsid w:val="0090695E"/>
    <w:rsid w:val="009069EA"/>
    <w:rsid w:val="00906EE0"/>
    <w:rsid w:val="00907494"/>
    <w:rsid w:val="00907A73"/>
    <w:rsid w:val="00907D11"/>
    <w:rsid w:val="00907E79"/>
    <w:rsid w:val="00907F37"/>
    <w:rsid w:val="00910B8A"/>
    <w:rsid w:val="009110DE"/>
    <w:rsid w:val="0091117D"/>
    <w:rsid w:val="00911374"/>
    <w:rsid w:val="00911549"/>
    <w:rsid w:val="00912957"/>
    <w:rsid w:val="0091351C"/>
    <w:rsid w:val="00913CA7"/>
    <w:rsid w:val="00913ED7"/>
    <w:rsid w:val="009141E8"/>
    <w:rsid w:val="00914679"/>
    <w:rsid w:val="009147DD"/>
    <w:rsid w:val="0091498F"/>
    <w:rsid w:val="00914B43"/>
    <w:rsid w:val="00914C60"/>
    <w:rsid w:val="00914C8E"/>
    <w:rsid w:val="009150B1"/>
    <w:rsid w:val="009151C2"/>
    <w:rsid w:val="0091560F"/>
    <w:rsid w:val="00916892"/>
    <w:rsid w:val="009168D7"/>
    <w:rsid w:val="00916942"/>
    <w:rsid w:val="00916C19"/>
    <w:rsid w:val="009170B6"/>
    <w:rsid w:val="0091744C"/>
    <w:rsid w:val="009177C6"/>
    <w:rsid w:val="00917817"/>
    <w:rsid w:val="00920B3A"/>
    <w:rsid w:val="00920F3E"/>
    <w:rsid w:val="009218D9"/>
    <w:rsid w:val="00922203"/>
    <w:rsid w:val="009225E9"/>
    <w:rsid w:val="0092293B"/>
    <w:rsid w:val="00922BC7"/>
    <w:rsid w:val="009231B1"/>
    <w:rsid w:val="00923D49"/>
    <w:rsid w:val="00923E9D"/>
    <w:rsid w:val="00925278"/>
    <w:rsid w:val="0092581E"/>
    <w:rsid w:val="009259BF"/>
    <w:rsid w:val="00925B9D"/>
    <w:rsid w:val="0092621C"/>
    <w:rsid w:val="009263E5"/>
    <w:rsid w:val="00926D3F"/>
    <w:rsid w:val="0092709F"/>
    <w:rsid w:val="009271CC"/>
    <w:rsid w:val="009278F1"/>
    <w:rsid w:val="009308FC"/>
    <w:rsid w:val="0093095F"/>
    <w:rsid w:val="009310BE"/>
    <w:rsid w:val="0093152B"/>
    <w:rsid w:val="00931957"/>
    <w:rsid w:val="009320F2"/>
    <w:rsid w:val="0093229B"/>
    <w:rsid w:val="009323B7"/>
    <w:rsid w:val="0093255D"/>
    <w:rsid w:val="00933352"/>
    <w:rsid w:val="009333A0"/>
    <w:rsid w:val="00933869"/>
    <w:rsid w:val="00933D86"/>
    <w:rsid w:val="00933E93"/>
    <w:rsid w:val="00934942"/>
    <w:rsid w:val="00934A34"/>
    <w:rsid w:val="00934FDC"/>
    <w:rsid w:val="00935309"/>
    <w:rsid w:val="0093547B"/>
    <w:rsid w:val="00935B0F"/>
    <w:rsid w:val="00935B59"/>
    <w:rsid w:val="00936450"/>
    <w:rsid w:val="00936598"/>
    <w:rsid w:val="00936D5A"/>
    <w:rsid w:val="009376DC"/>
    <w:rsid w:val="009378AB"/>
    <w:rsid w:val="00937974"/>
    <w:rsid w:val="00940132"/>
    <w:rsid w:val="0094027F"/>
    <w:rsid w:val="009405F1"/>
    <w:rsid w:val="009409AA"/>
    <w:rsid w:val="00941092"/>
    <w:rsid w:val="00941E20"/>
    <w:rsid w:val="00941F37"/>
    <w:rsid w:val="009425C6"/>
    <w:rsid w:val="009426C8"/>
    <w:rsid w:val="009431DE"/>
    <w:rsid w:val="009432E0"/>
    <w:rsid w:val="00943339"/>
    <w:rsid w:val="00943B2F"/>
    <w:rsid w:val="00943D0E"/>
    <w:rsid w:val="00944B11"/>
    <w:rsid w:val="009454FE"/>
    <w:rsid w:val="009458AB"/>
    <w:rsid w:val="00945E60"/>
    <w:rsid w:val="00946159"/>
    <w:rsid w:val="00946E1B"/>
    <w:rsid w:val="00946FFB"/>
    <w:rsid w:val="00947297"/>
    <w:rsid w:val="00947546"/>
    <w:rsid w:val="0094756A"/>
    <w:rsid w:val="009478C8"/>
    <w:rsid w:val="00947E92"/>
    <w:rsid w:val="00950007"/>
    <w:rsid w:val="009509A7"/>
    <w:rsid w:val="00950A1B"/>
    <w:rsid w:val="00950AE2"/>
    <w:rsid w:val="00950DB9"/>
    <w:rsid w:val="00951358"/>
    <w:rsid w:val="009514D2"/>
    <w:rsid w:val="00951653"/>
    <w:rsid w:val="00951D64"/>
    <w:rsid w:val="00951E57"/>
    <w:rsid w:val="00952358"/>
    <w:rsid w:val="0095251F"/>
    <w:rsid w:val="00952E21"/>
    <w:rsid w:val="0095337B"/>
    <w:rsid w:val="009533C9"/>
    <w:rsid w:val="009533D2"/>
    <w:rsid w:val="009544B2"/>
    <w:rsid w:val="009545B3"/>
    <w:rsid w:val="00954643"/>
    <w:rsid w:val="00955156"/>
    <w:rsid w:val="0095548F"/>
    <w:rsid w:val="009557F6"/>
    <w:rsid w:val="00955D65"/>
    <w:rsid w:val="00955EDA"/>
    <w:rsid w:val="009560AD"/>
    <w:rsid w:val="00956136"/>
    <w:rsid w:val="0095632A"/>
    <w:rsid w:val="009569DD"/>
    <w:rsid w:val="00956ED1"/>
    <w:rsid w:val="00956F76"/>
    <w:rsid w:val="0095719B"/>
    <w:rsid w:val="009574B2"/>
    <w:rsid w:val="00957730"/>
    <w:rsid w:val="009600EE"/>
    <w:rsid w:val="00960923"/>
    <w:rsid w:val="00962040"/>
    <w:rsid w:val="00962E94"/>
    <w:rsid w:val="009635EF"/>
    <w:rsid w:val="009642E7"/>
    <w:rsid w:val="00964564"/>
    <w:rsid w:val="009647B0"/>
    <w:rsid w:val="009649DB"/>
    <w:rsid w:val="00964E7B"/>
    <w:rsid w:val="00964EF1"/>
    <w:rsid w:val="0096554E"/>
    <w:rsid w:val="009655A0"/>
    <w:rsid w:val="0096675E"/>
    <w:rsid w:val="00966BD6"/>
    <w:rsid w:val="00966D97"/>
    <w:rsid w:val="00967504"/>
    <w:rsid w:val="00967B36"/>
    <w:rsid w:val="00967B44"/>
    <w:rsid w:val="00967C97"/>
    <w:rsid w:val="009703E7"/>
    <w:rsid w:val="00970503"/>
    <w:rsid w:val="009716DB"/>
    <w:rsid w:val="009718B8"/>
    <w:rsid w:val="00971EA9"/>
    <w:rsid w:val="00971FA4"/>
    <w:rsid w:val="009731DC"/>
    <w:rsid w:val="00973337"/>
    <w:rsid w:val="009735C5"/>
    <w:rsid w:val="009737CE"/>
    <w:rsid w:val="009737D7"/>
    <w:rsid w:val="00973825"/>
    <w:rsid w:val="0097384F"/>
    <w:rsid w:val="00973A88"/>
    <w:rsid w:val="00973D31"/>
    <w:rsid w:val="00973EDF"/>
    <w:rsid w:val="00974041"/>
    <w:rsid w:val="00974267"/>
    <w:rsid w:val="00974EA3"/>
    <w:rsid w:val="009755F5"/>
    <w:rsid w:val="00975738"/>
    <w:rsid w:val="00975ABA"/>
    <w:rsid w:val="00976218"/>
    <w:rsid w:val="00976D16"/>
    <w:rsid w:val="0097786F"/>
    <w:rsid w:val="0097797E"/>
    <w:rsid w:val="0098017D"/>
    <w:rsid w:val="009807E6"/>
    <w:rsid w:val="009810FF"/>
    <w:rsid w:val="00981588"/>
    <w:rsid w:val="00981647"/>
    <w:rsid w:val="00982141"/>
    <w:rsid w:val="00982268"/>
    <w:rsid w:val="00982870"/>
    <w:rsid w:val="00982C5C"/>
    <w:rsid w:val="00982E0F"/>
    <w:rsid w:val="00983118"/>
    <w:rsid w:val="00983BCD"/>
    <w:rsid w:val="00983F4B"/>
    <w:rsid w:val="00983FF9"/>
    <w:rsid w:val="00984160"/>
    <w:rsid w:val="009843E3"/>
    <w:rsid w:val="009847CF"/>
    <w:rsid w:val="009849AB"/>
    <w:rsid w:val="0098511C"/>
    <w:rsid w:val="00985505"/>
    <w:rsid w:val="0098556F"/>
    <w:rsid w:val="009857AA"/>
    <w:rsid w:val="00985E76"/>
    <w:rsid w:val="009868C1"/>
    <w:rsid w:val="00986A1C"/>
    <w:rsid w:val="0098747D"/>
    <w:rsid w:val="0098776E"/>
    <w:rsid w:val="009878F9"/>
    <w:rsid w:val="00987B81"/>
    <w:rsid w:val="00987BAE"/>
    <w:rsid w:val="0099086E"/>
    <w:rsid w:val="00990959"/>
    <w:rsid w:val="00990F96"/>
    <w:rsid w:val="009913F4"/>
    <w:rsid w:val="00991B67"/>
    <w:rsid w:val="00992272"/>
    <w:rsid w:val="009927B8"/>
    <w:rsid w:val="00992EBA"/>
    <w:rsid w:val="009931DE"/>
    <w:rsid w:val="0099348A"/>
    <w:rsid w:val="00993BA7"/>
    <w:rsid w:val="00994082"/>
    <w:rsid w:val="009941BF"/>
    <w:rsid w:val="00994C86"/>
    <w:rsid w:val="0099502B"/>
    <w:rsid w:val="0099508D"/>
    <w:rsid w:val="0099581B"/>
    <w:rsid w:val="009959B3"/>
    <w:rsid w:val="00995DA1"/>
    <w:rsid w:val="00997272"/>
    <w:rsid w:val="00997736"/>
    <w:rsid w:val="00997A05"/>
    <w:rsid w:val="00997ECF"/>
    <w:rsid w:val="009A036B"/>
    <w:rsid w:val="009A0374"/>
    <w:rsid w:val="009A0398"/>
    <w:rsid w:val="009A07F7"/>
    <w:rsid w:val="009A0B60"/>
    <w:rsid w:val="009A13C2"/>
    <w:rsid w:val="009A162E"/>
    <w:rsid w:val="009A193C"/>
    <w:rsid w:val="009A1E5D"/>
    <w:rsid w:val="009A1ED8"/>
    <w:rsid w:val="009A2DED"/>
    <w:rsid w:val="009A30A3"/>
    <w:rsid w:val="009A31CB"/>
    <w:rsid w:val="009A391A"/>
    <w:rsid w:val="009A39D3"/>
    <w:rsid w:val="009A3A52"/>
    <w:rsid w:val="009A3BFA"/>
    <w:rsid w:val="009A4246"/>
    <w:rsid w:val="009A49CE"/>
    <w:rsid w:val="009A52FE"/>
    <w:rsid w:val="009A542E"/>
    <w:rsid w:val="009A61A3"/>
    <w:rsid w:val="009A6360"/>
    <w:rsid w:val="009A711E"/>
    <w:rsid w:val="009A71FE"/>
    <w:rsid w:val="009A7397"/>
    <w:rsid w:val="009A7589"/>
    <w:rsid w:val="009A7AE1"/>
    <w:rsid w:val="009B00D7"/>
    <w:rsid w:val="009B026E"/>
    <w:rsid w:val="009B0693"/>
    <w:rsid w:val="009B1049"/>
    <w:rsid w:val="009B13B6"/>
    <w:rsid w:val="009B192A"/>
    <w:rsid w:val="009B1B51"/>
    <w:rsid w:val="009B1C0F"/>
    <w:rsid w:val="009B1CD9"/>
    <w:rsid w:val="009B2349"/>
    <w:rsid w:val="009B24FB"/>
    <w:rsid w:val="009B2584"/>
    <w:rsid w:val="009B2703"/>
    <w:rsid w:val="009B2818"/>
    <w:rsid w:val="009B2F17"/>
    <w:rsid w:val="009B323D"/>
    <w:rsid w:val="009B3745"/>
    <w:rsid w:val="009B3C30"/>
    <w:rsid w:val="009B3C8B"/>
    <w:rsid w:val="009B4134"/>
    <w:rsid w:val="009B4695"/>
    <w:rsid w:val="009B4ED6"/>
    <w:rsid w:val="009B4FB5"/>
    <w:rsid w:val="009B5236"/>
    <w:rsid w:val="009B5335"/>
    <w:rsid w:val="009B656A"/>
    <w:rsid w:val="009B6C44"/>
    <w:rsid w:val="009B6D97"/>
    <w:rsid w:val="009B70B4"/>
    <w:rsid w:val="009B77D7"/>
    <w:rsid w:val="009B7829"/>
    <w:rsid w:val="009B7E10"/>
    <w:rsid w:val="009C06F7"/>
    <w:rsid w:val="009C08FC"/>
    <w:rsid w:val="009C0D98"/>
    <w:rsid w:val="009C1359"/>
    <w:rsid w:val="009C152B"/>
    <w:rsid w:val="009C24D3"/>
    <w:rsid w:val="009C253D"/>
    <w:rsid w:val="009C264E"/>
    <w:rsid w:val="009C289E"/>
    <w:rsid w:val="009C2CA7"/>
    <w:rsid w:val="009C2CC3"/>
    <w:rsid w:val="009C2EB0"/>
    <w:rsid w:val="009C314A"/>
    <w:rsid w:val="009C33EC"/>
    <w:rsid w:val="009C394E"/>
    <w:rsid w:val="009C42CC"/>
    <w:rsid w:val="009C43A3"/>
    <w:rsid w:val="009C43F2"/>
    <w:rsid w:val="009C4DA6"/>
    <w:rsid w:val="009C5321"/>
    <w:rsid w:val="009C5441"/>
    <w:rsid w:val="009C54E4"/>
    <w:rsid w:val="009C56D8"/>
    <w:rsid w:val="009C570D"/>
    <w:rsid w:val="009C5E9A"/>
    <w:rsid w:val="009C6007"/>
    <w:rsid w:val="009C61E7"/>
    <w:rsid w:val="009C65BF"/>
    <w:rsid w:val="009C6F3A"/>
    <w:rsid w:val="009C73DE"/>
    <w:rsid w:val="009C7C06"/>
    <w:rsid w:val="009C7E0C"/>
    <w:rsid w:val="009D0A42"/>
    <w:rsid w:val="009D0FE0"/>
    <w:rsid w:val="009D1C03"/>
    <w:rsid w:val="009D1C67"/>
    <w:rsid w:val="009D1DD2"/>
    <w:rsid w:val="009D1FB0"/>
    <w:rsid w:val="009D21D4"/>
    <w:rsid w:val="009D2C1F"/>
    <w:rsid w:val="009D2C99"/>
    <w:rsid w:val="009D2E83"/>
    <w:rsid w:val="009D2EB3"/>
    <w:rsid w:val="009D31BF"/>
    <w:rsid w:val="009D37C4"/>
    <w:rsid w:val="009D384F"/>
    <w:rsid w:val="009D3B35"/>
    <w:rsid w:val="009D3BD7"/>
    <w:rsid w:val="009D3D3E"/>
    <w:rsid w:val="009D3E1C"/>
    <w:rsid w:val="009D44F7"/>
    <w:rsid w:val="009D4512"/>
    <w:rsid w:val="009D453C"/>
    <w:rsid w:val="009D4656"/>
    <w:rsid w:val="009D5005"/>
    <w:rsid w:val="009D51F6"/>
    <w:rsid w:val="009D5BB4"/>
    <w:rsid w:val="009D5D4B"/>
    <w:rsid w:val="009D5FDC"/>
    <w:rsid w:val="009D609D"/>
    <w:rsid w:val="009D63F4"/>
    <w:rsid w:val="009D6618"/>
    <w:rsid w:val="009D6BA7"/>
    <w:rsid w:val="009D6C73"/>
    <w:rsid w:val="009D6ECF"/>
    <w:rsid w:val="009D7226"/>
    <w:rsid w:val="009D7BA7"/>
    <w:rsid w:val="009D7BCF"/>
    <w:rsid w:val="009E011A"/>
    <w:rsid w:val="009E0630"/>
    <w:rsid w:val="009E1399"/>
    <w:rsid w:val="009E1417"/>
    <w:rsid w:val="009E1461"/>
    <w:rsid w:val="009E20B5"/>
    <w:rsid w:val="009E2550"/>
    <w:rsid w:val="009E277E"/>
    <w:rsid w:val="009E2849"/>
    <w:rsid w:val="009E3014"/>
    <w:rsid w:val="009E3980"/>
    <w:rsid w:val="009E3FDD"/>
    <w:rsid w:val="009E43E5"/>
    <w:rsid w:val="009E4F7E"/>
    <w:rsid w:val="009E4FAC"/>
    <w:rsid w:val="009E6391"/>
    <w:rsid w:val="009E6CB1"/>
    <w:rsid w:val="009F0E4D"/>
    <w:rsid w:val="009F131A"/>
    <w:rsid w:val="009F1D13"/>
    <w:rsid w:val="009F1E54"/>
    <w:rsid w:val="009F1EA1"/>
    <w:rsid w:val="009F1F04"/>
    <w:rsid w:val="009F209D"/>
    <w:rsid w:val="009F23C8"/>
    <w:rsid w:val="009F266A"/>
    <w:rsid w:val="009F2EAF"/>
    <w:rsid w:val="009F3C60"/>
    <w:rsid w:val="009F3DA1"/>
    <w:rsid w:val="009F4166"/>
    <w:rsid w:val="009F4566"/>
    <w:rsid w:val="009F59B8"/>
    <w:rsid w:val="009F5F4E"/>
    <w:rsid w:val="009F65F5"/>
    <w:rsid w:val="009F6CA6"/>
    <w:rsid w:val="00A00677"/>
    <w:rsid w:val="00A00E1C"/>
    <w:rsid w:val="00A01478"/>
    <w:rsid w:val="00A01553"/>
    <w:rsid w:val="00A017AA"/>
    <w:rsid w:val="00A01AAF"/>
    <w:rsid w:val="00A01C44"/>
    <w:rsid w:val="00A01E7B"/>
    <w:rsid w:val="00A01E8B"/>
    <w:rsid w:val="00A01EDE"/>
    <w:rsid w:val="00A02B6B"/>
    <w:rsid w:val="00A030C7"/>
    <w:rsid w:val="00A0328E"/>
    <w:rsid w:val="00A03B19"/>
    <w:rsid w:val="00A03C95"/>
    <w:rsid w:val="00A04550"/>
    <w:rsid w:val="00A04666"/>
    <w:rsid w:val="00A04B77"/>
    <w:rsid w:val="00A04C78"/>
    <w:rsid w:val="00A053A1"/>
    <w:rsid w:val="00A05850"/>
    <w:rsid w:val="00A05CC5"/>
    <w:rsid w:val="00A06168"/>
    <w:rsid w:val="00A065B6"/>
    <w:rsid w:val="00A103FE"/>
    <w:rsid w:val="00A10579"/>
    <w:rsid w:val="00A1086D"/>
    <w:rsid w:val="00A118AE"/>
    <w:rsid w:val="00A1240C"/>
    <w:rsid w:val="00A1267D"/>
    <w:rsid w:val="00A126B4"/>
    <w:rsid w:val="00A12712"/>
    <w:rsid w:val="00A12FE8"/>
    <w:rsid w:val="00A13192"/>
    <w:rsid w:val="00A134EC"/>
    <w:rsid w:val="00A13B00"/>
    <w:rsid w:val="00A13C0F"/>
    <w:rsid w:val="00A13F25"/>
    <w:rsid w:val="00A15AE4"/>
    <w:rsid w:val="00A1618B"/>
    <w:rsid w:val="00A163D9"/>
    <w:rsid w:val="00A1658A"/>
    <w:rsid w:val="00A16EEA"/>
    <w:rsid w:val="00A1723E"/>
    <w:rsid w:val="00A172E1"/>
    <w:rsid w:val="00A1748B"/>
    <w:rsid w:val="00A1764E"/>
    <w:rsid w:val="00A177BA"/>
    <w:rsid w:val="00A17CCB"/>
    <w:rsid w:val="00A20176"/>
    <w:rsid w:val="00A201BD"/>
    <w:rsid w:val="00A2145A"/>
    <w:rsid w:val="00A21523"/>
    <w:rsid w:val="00A23293"/>
    <w:rsid w:val="00A2355C"/>
    <w:rsid w:val="00A23F7A"/>
    <w:rsid w:val="00A2465B"/>
    <w:rsid w:val="00A2502A"/>
    <w:rsid w:val="00A2522C"/>
    <w:rsid w:val="00A2546B"/>
    <w:rsid w:val="00A255E5"/>
    <w:rsid w:val="00A256B3"/>
    <w:rsid w:val="00A2596B"/>
    <w:rsid w:val="00A25E2B"/>
    <w:rsid w:val="00A26165"/>
    <w:rsid w:val="00A26195"/>
    <w:rsid w:val="00A26301"/>
    <w:rsid w:val="00A26DC5"/>
    <w:rsid w:val="00A27141"/>
    <w:rsid w:val="00A274CE"/>
    <w:rsid w:val="00A27A90"/>
    <w:rsid w:val="00A27C59"/>
    <w:rsid w:val="00A27DF8"/>
    <w:rsid w:val="00A308CE"/>
    <w:rsid w:val="00A309E9"/>
    <w:rsid w:val="00A30CD4"/>
    <w:rsid w:val="00A30FBE"/>
    <w:rsid w:val="00A3112C"/>
    <w:rsid w:val="00A3147B"/>
    <w:rsid w:val="00A315F8"/>
    <w:rsid w:val="00A31757"/>
    <w:rsid w:val="00A31D15"/>
    <w:rsid w:val="00A3225A"/>
    <w:rsid w:val="00A324C3"/>
    <w:rsid w:val="00A32521"/>
    <w:rsid w:val="00A32A3C"/>
    <w:rsid w:val="00A32D56"/>
    <w:rsid w:val="00A330C3"/>
    <w:rsid w:val="00A332A9"/>
    <w:rsid w:val="00A33737"/>
    <w:rsid w:val="00A339C1"/>
    <w:rsid w:val="00A33CE0"/>
    <w:rsid w:val="00A3401A"/>
    <w:rsid w:val="00A34859"/>
    <w:rsid w:val="00A34FA2"/>
    <w:rsid w:val="00A3544E"/>
    <w:rsid w:val="00A3575F"/>
    <w:rsid w:val="00A35A30"/>
    <w:rsid w:val="00A35A78"/>
    <w:rsid w:val="00A36151"/>
    <w:rsid w:val="00A4068B"/>
    <w:rsid w:val="00A40E91"/>
    <w:rsid w:val="00A41F53"/>
    <w:rsid w:val="00A4236E"/>
    <w:rsid w:val="00A42BF3"/>
    <w:rsid w:val="00A4373F"/>
    <w:rsid w:val="00A439F8"/>
    <w:rsid w:val="00A43C68"/>
    <w:rsid w:val="00A43F94"/>
    <w:rsid w:val="00A44CC1"/>
    <w:rsid w:val="00A44F63"/>
    <w:rsid w:val="00A4524C"/>
    <w:rsid w:val="00A4538E"/>
    <w:rsid w:val="00A45FC6"/>
    <w:rsid w:val="00A4612E"/>
    <w:rsid w:val="00A46163"/>
    <w:rsid w:val="00A4652C"/>
    <w:rsid w:val="00A46941"/>
    <w:rsid w:val="00A46B97"/>
    <w:rsid w:val="00A50169"/>
    <w:rsid w:val="00A502C9"/>
    <w:rsid w:val="00A5034D"/>
    <w:rsid w:val="00A504CE"/>
    <w:rsid w:val="00A50C27"/>
    <w:rsid w:val="00A51228"/>
    <w:rsid w:val="00A519EA"/>
    <w:rsid w:val="00A51A9F"/>
    <w:rsid w:val="00A51C37"/>
    <w:rsid w:val="00A51C3A"/>
    <w:rsid w:val="00A51E2C"/>
    <w:rsid w:val="00A52064"/>
    <w:rsid w:val="00A52109"/>
    <w:rsid w:val="00A52186"/>
    <w:rsid w:val="00A5242D"/>
    <w:rsid w:val="00A527AD"/>
    <w:rsid w:val="00A52919"/>
    <w:rsid w:val="00A529ED"/>
    <w:rsid w:val="00A52F72"/>
    <w:rsid w:val="00A53B74"/>
    <w:rsid w:val="00A53CC3"/>
    <w:rsid w:val="00A53CF8"/>
    <w:rsid w:val="00A53E1D"/>
    <w:rsid w:val="00A53ED2"/>
    <w:rsid w:val="00A543BB"/>
    <w:rsid w:val="00A54EAE"/>
    <w:rsid w:val="00A552F3"/>
    <w:rsid w:val="00A55AAF"/>
    <w:rsid w:val="00A55D32"/>
    <w:rsid w:val="00A565CC"/>
    <w:rsid w:val="00A56902"/>
    <w:rsid w:val="00A56D47"/>
    <w:rsid w:val="00A56FD3"/>
    <w:rsid w:val="00A57137"/>
    <w:rsid w:val="00A57305"/>
    <w:rsid w:val="00A576D6"/>
    <w:rsid w:val="00A57A83"/>
    <w:rsid w:val="00A60908"/>
    <w:rsid w:val="00A60ECA"/>
    <w:rsid w:val="00A611EF"/>
    <w:rsid w:val="00A61963"/>
    <w:rsid w:val="00A61C79"/>
    <w:rsid w:val="00A6268A"/>
    <w:rsid w:val="00A62C2B"/>
    <w:rsid w:val="00A62D2C"/>
    <w:rsid w:val="00A62D3B"/>
    <w:rsid w:val="00A62E68"/>
    <w:rsid w:val="00A63874"/>
    <w:rsid w:val="00A63A24"/>
    <w:rsid w:val="00A63AE5"/>
    <w:rsid w:val="00A63C00"/>
    <w:rsid w:val="00A64283"/>
    <w:rsid w:val="00A64BD2"/>
    <w:rsid w:val="00A64DC1"/>
    <w:rsid w:val="00A64E48"/>
    <w:rsid w:val="00A650D0"/>
    <w:rsid w:val="00A6549D"/>
    <w:rsid w:val="00A65907"/>
    <w:rsid w:val="00A66333"/>
    <w:rsid w:val="00A66A51"/>
    <w:rsid w:val="00A66B6A"/>
    <w:rsid w:val="00A66D7A"/>
    <w:rsid w:val="00A6713F"/>
    <w:rsid w:val="00A67F3A"/>
    <w:rsid w:val="00A71712"/>
    <w:rsid w:val="00A71A9D"/>
    <w:rsid w:val="00A72C27"/>
    <w:rsid w:val="00A7325D"/>
    <w:rsid w:val="00A7328B"/>
    <w:rsid w:val="00A74291"/>
    <w:rsid w:val="00A743E3"/>
    <w:rsid w:val="00A74CEA"/>
    <w:rsid w:val="00A75178"/>
    <w:rsid w:val="00A756C5"/>
    <w:rsid w:val="00A75A56"/>
    <w:rsid w:val="00A75E57"/>
    <w:rsid w:val="00A760CD"/>
    <w:rsid w:val="00A7689E"/>
    <w:rsid w:val="00A770D2"/>
    <w:rsid w:val="00A777E7"/>
    <w:rsid w:val="00A777FB"/>
    <w:rsid w:val="00A80ADD"/>
    <w:rsid w:val="00A80E48"/>
    <w:rsid w:val="00A81216"/>
    <w:rsid w:val="00A81316"/>
    <w:rsid w:val="00A81413"/>
    <w:rsid w:val="00A819C8"/>
    <w:rsid w:val="00A81AFA"/>
    <w:rsid w:val="00A81F0A"/>
    <w:rsid w:val="00A82082"/>
    <w:rsid w:val="00A823C9"/>
    <w:rsid w:val="00A8277B"/>
    <w:rsid w:val="00A829AA"/>
    <w:rsid w:val="00A830A0"/>
    <w:rsid w:val="00A83852"/>
    <w:rsid w:val="00A8385D"/>
    <w:rsid w:val="00A845C9"/>
    <w:rsid w:val="00A8465F"/>
    <w:rsid w:val="00A84ADF"/>
    <w:rsid w:val="00A850A3"/>
    <w:rsid w:val="00A85802"/>
    <w:rsid w:val="00A8618A"/>
    <w:rsid w:val="00A865C7"/>
    <w:rsid w:val="00A86645"/>
    <w:rsid w:val="00A870D0"/>
    <w:rsid w:val="00A8771B"/>
    <w:rsid w:val="00A87AE4"/>
    <w:rsid w:val="00A900D9"/>
    <w:rsid w:val="00A90817"/>
    <w:rsid w:val="00A90B2E"/>
    <w:rsid w:val="00A9113A"/>
    <w:rsid w:val="00A9160C"/>
    <w:rsid w:val="00A91A0E"/>
    <w:rsid w:val="00A91BDA"/>
    <w:rsid w:val="00A922A1"/>
    <w:rsid w:val="00A924E0"/>
    <w:rsid w:val="00A92751"/>
    <w:rsid w:val="00A928CF"/>
    <w:rsid w:val="00A92C45"/>
    <w:rsid w:val="00A93A87"/>
    <w:rsid w:val="00A93EB6"/>
    <w:rsid w:val="00A9463D"/>
    <w:rsid w:val="00A94893"/>
    <w:rsid w:val="00A94AD0"/>
    <w:rsid w:val="00A94C30"/>
    <w:rsid w:val="00A959A7"/>
    <w:rsid w:val="00A95A87"/>
    <w:rsid w:val="00A9617E"/>
    <w:rsid w:val="00A9618D"/>
    <w:rsid w:val="00A96664"/>
    <w:rsid w:val="00A967F9"/>
    <w:rsid w:val="00A97239"/>
    <w:rsid w:val="00A978AA"/>
    <w:rsid w:val="00AA0403"/>
    <w:rsid w:val="00AA0733"/>
    <w:rsid w:val="00AA0B56"/>
    <w:rsid w:val="00AA0DA9"/>
    <w:rsid w:val="00AA0F47"/>
    <w:rsid w:val="00AA1146"/>
    <w:rsid w:val="00AA13D8"/>
    <w:rsid w:val="00AA1F9A"/>
    <w:rsid w:val="00AA2362"/>
    <w:rsid w:val="00AA25C9"/>
    <w:rsid w:val="00AA2BDB"/>
    <w:rsid w:val="00AA3A71"/>
    <w:rsid w:val="00AA4036"/>
    <w:rsid w:val="00AA4196"/>
    <w:rsid w:val="00AA42AF"/>
    <w:rsid w:val="00AA4B6B"/>
    <w:rsid w:val="00AA4C85"/>
    <w:rsid w:val="00AA5041"/>
    <w:rsid w:val="00AA5343"/>
    <w:rsid w:val="00AA5C24"/>
    <w:rsid w:val="00AA5E16"/>
    <w:rsid w:val="00AA644D"/>
    <w:rsid w:val="00AA71A7"/>
    <w:rsid w:val="00AA7497"/>
    <w:rsid w:val="00AA7C4E"/>
    <w:rsid w:val="00AB03AE"/>
    <w:rsid w:val="00AB0590"/>
    <w:rsid w:val="00AB09E2"/>
    <w:rsid w:val="00AB0BE0"/>
    <w:rsid w:val="00AB0BEF"/>
    <w:rsid w:val="00AB1776"/>
    <w:rsid w:val="00AB1BB3"/>
    <w:rsid w:val="00AB2CF9"/>
    <w:rsid w:val="00AB2DB8"/>
    <w:rsid w:val="00AB2E5F"/>
    <w:rsid w:val="00AB31FE"/>
    <w:rsid w:val="00AB3441"/>
    <w:rsid w:val="00AB3A2A"/>
    <w:rsid w:val="00AB3E19"/>
    <w:rsid w:val="00AB40B6"/>
    <w:rsid w:val="00AB468C"/>
    <w:rsid w:val="00AB4DE7"/>
    <w:rsid w:val="00AB5299"/>
    <w:rsid w:val="00AB60E0"/>
    <w:rsid w:val="00AB6377"/>
    <w:rsid w:val="00AB63FA"/>
    <w:rsid w:val="00AB6AD4"/>
    <w:rsid w:val="00AB79C0"/>
    <w:rsid w:val="00AB7C50"/>
    <w:rsid w:val="00AB7E72"/>
    <w:rsid w:val="00AB7F2D"/>
    <w:rsid w:val="00AC00CE"/>
    <w:rsid w:val="00AC026B"/>
    <w:rsid w:val="00AC045D"/>
    <w:rsid w:val="00AC09CA"/>
    <w:rsid w:val="00AC1598"/>
    <w:rsid w:val="00AC1662"/>
    <w:rsid w:val="00AC18FA"/>
    <w:rsid w:val="00AC1D5A"/>
    <w:rsid w:val="00AC2363"/>
    <w:rsid w:val="00AC249F"/>
    <w:rsid w:val="00AC2B5C"/>
    <w:rsid w:val="00AC3205"/>
    <w:rsid w:val="00AC33F1"/>
    <w:rsid w:val="00AC388B"/>
    <w:rsid w:val="00AC3A6C"/>
    <w:rsid w:val="00AC414D"/>
    <w:rsid w:val="00AC4769"/>
    <w:rsid w:val="00AC4A62"/>
    <w:rsid w:val="00AC4B93"/>
    <w:rsid w:val="00AC4F7B"/>
    <w:rsid w:val="00AC506B"/>
    <w:rsid w:val="00AC53B3"/>
    <w:rsid w:val="00AC5D08"/>
    <w:rsid w:val="00AC64A4"/>
    <w:rsid w:val="00AC6D49"/>
    <w:rsid w:val="00AC6FAC"/>
    <w:rsid w:val="00AC7634"/>
    <w:rsid w:val="00AC7D8C"/>
    <w:rsid w:val="00AC7FD9"/>
    <w:rsid w:val="00AD0376"/>
    <w:rsid w:val="00AD04D3"/>
    <w:rsid w:val="00AD0DB9"/>
    <w:rsid w:val="00AD0E71"/>
    <w:rsid w:val="00AD0FC8"/>
    <w:rsid w:val="00AD21C6"/>
    <w:rsid w:val="00AD27CE"/>
    <w:rsid w:val="00AD27E4"/>
    <w:rsid w:val="00AD3090"/>
    <w:rsid w:val="00AD37A4"/>
    <w:rsid w:val="00AD3947"/>
    <w:rsid w:val="00AD3A54"/>
    <w:rsid w:val="00AD3B79"/>
    <w:rsid w:val="00AD3EA9"/>
    <w:rsid w:val="00AD3F4A"/>
    <w:rsid w:val="00AD3FFC"/>
    <w:rsid w:val="00AD449B"/>
    <w:rsid w:val="00AD4CC1"/>
    <w:rsid w:val="00AD4DB7"/>
    <w:rsid w:val="00AD560D"/>
    <w:rsid w:val="00AD561F"/>
    <w:rsid w:val="00AD650A"/>
    <w:rsid w:val="00AD650E"/>
    <w:rsid w:val="00AD6A70"/>
    <w:rsid w:val="00AD7527"/>
    <w:rsid w:val="00AE0133"/>
    <w:rsid w:val="00AE10D3"/>
    <w:rsid w:val="00AE122B"/>
    <w:rsid w:val="00AE163F"/>
    <w:rsid w:val="00AE1E5C"/>
    <w:rsid w:val="00AE22B3"/>
    <w:rsid w:val="00AE263A"/>
    <w:rsid w:val="00AE3E39"/>
    <w:rsid w:val="00AE3F1E"/>
    <w:rsid w:val="00AE3F65"/>
    <w:rsid w:val="00AE4178"/>
    <w:rsid w:val="00AE4228"/>
    <w:rsid w:val="00AE46DA"/>
    <w:rsid w:val="00AE49CF"/>
    <w:rsid w:val="00AE601C"/>
    <w:rsid w:val="00AE634D"/>
    <w:rsid w:val="00AE68CB"/>
    <w:rsid w:val="00AE75E0"/>
    <w:rsid w:val="00AE76C3"/>
    <w:rsid w:val="00AE784F"/>
    <w:rsid w:val="00AE7D35"/>
    <w:rsid w:val="00AE7FD1"/>
    <w:rsid w:val="00AF00CA"/>
    <w:rsid w:val="00AF08D2"/>
    <w:rsid w:val="00AF0C49"/>
    <w:rsid w:val="00AF1706"/>
    <w:rsid w:val="00AF1C74"/>
    <w:rsid w:val="00AF24AC"/>
    <w:rsid w:val="00AF2604"/>
    <w:rsid w:val="00AF27BD"/>
    <w:rsid w:val="00AF2F4D"/>
    <w:rsid w:val="00AF35C3"/>
    <w:rsid w:val="00AF443A"/>
    <w:rsid w:val="00AF44C0"/>
    <w:rsid w:val="00AF4D4A"/>
    <w:rsid w:val="00AF5C9B"/>
    <w:rsid w:val="00AF64D3"/>
    <w:rsid w:val="00AF6826"/>
    <w:rsid w:val="00AF75AF"/>
    <w:rsid w:val="00B005CE"/>
    <w:rsid w:val="00B00832"/>
    <w:rsid w:val="00B008E7"/>
    <w:rsid w:val="00B0119F"/>
    <w:rsid w:val="00B011F0"/>
    <w:rsid w:val="00B014F1"/>
    <w:rsid w:val="00B01BE5"/>
    <w:rsid w:val="00B01E1E"/>
    <w:rsid w:val="00B0202C"/>
    <w:rsid w:val="00B02479"/>
    <w:rsid w:val="00B02C7B"/>
    <w:rsid w:val="00B02F09"/>
    <w:rsid w:val="00B0316C"/>
    <w:rsid w:val="00B03753"/>
    <w:rsid w:val="00B044E1"/>
    <w:rsid w:val="00B057D7"/>
    <w:rsid w:val="00B05913"/>
    <w:rsid w:val="00B059A3"/>
    <w:rsid w:val="00B05A7C"/>
    <w:rsid w:val="00B060AF"/>
    <w:rsid w:val="00B06531"/>
    <w:rsid w:val="00B069C8"/>
    <w:rsid w:val="00B0701E"/>
    <w:rsid w:val="00B07642"/>
    <w:rsid w:val="00B10576"/>
    <w:rsid w:val="00B114EF"/>
    <w:rsid w:val="00B11766"/>
    <w:rsid w:val="00B1216D"/>
    <w:rsid w:val="00B123C1"/>
    <w:rsid w:val="00B1253E"/>
    <w:rsid w:val="00B125DF"/>
    <w:rsid w:val="00B12791"/>
    <w:rsid w:val="00B1280C"/>
    <w:rsid w:val="00B12D76"/>
    <w:rsid w:val="00B12D98"/>
    <w:rsid w:val="00B12FE0"/>
    <w:rsid w:val="00B1306F"/>
    <w:rsid w:val="00B13356"/>
    <w:rsid w:val="00B146AA"/>
    <w:rsid w:val="00B15477"/>
    <w:rsid w:val="00B15B78"/>
    <w:rsid w:val="00B1623D"/>
    <w:rsid w:val="00B163FE"/>
    <w:rsid w:val="00B16436"/>
    <w:rsid w:val="00B1684E"/>
    <w:rsid w:val="00B168B0"/>
    <w:rsid w:val="00B1697D"/>
    <w:rsid w:val="00B16AF5"/>
    <w:rsid w:val="00B17131"/>
    <w:rsid w:val="00B176E4"/>
    <w:rsid w:val="00B17757"/>
    <w:rsid w:val="00B17DBD"/>
    <w:rsid w:val="00B2030F"/>
    <w:rsid w:val="00B20912"/>
    <w:rsid w:val="00B21971"/>
    <w:rsid w:val="00B21C74"/>
    <w:rsid w:val="00B22956"/>
    <w:rsid w:val="00B2351D"/>
    <w:rsid w:val="00B2367E"/>
    <w:rsid w:val="00B23A6D"/>
    <w:rsid w:val="00B245CF"/>
    <w:rsid w:val="00B24C82"/>
    <w:rsid w:val="00B25587"/>
    <w:rsid w:val="00B25E6B"/>
    <w:rsid w:val="00B2604C"/>
    <w:rsid w:val="00B260EA"/>
    <w:rsid w:val="00B26A16"/>
    <w:rsid w:val="00B26EA0"/>
    <w:rsid w:val="00B27601"/>
    <w:rsid w:val="00B276AD"/>
    <w:rsid w:val="00B27A34"/>
    <w:rsid w:val="00B3043C"/>
    <w:rsid w:val="00B30833"/>
    <w:rsid w:val="00B30D85"/>
    <w:rsid w:val="00B3130E"/>
    <w:rsid w:val="00B31880"/>
    <w:rsid w:val="00B31A99"/>
    <w:rsid w:val="00B32100"/>
    <w:rsid w:val="00B321C9"/>
    <w:rsid w:val="00B32C3F"/>
    <w:rsid w:val="00B3370F"/>
    <w:rsid w:val="00B3380B"/>
    <w:rsid w:val="00B33CB3"/>
    <w:rsid w:val="00B33FCC"/>
    <w:rsid w:val="00B34D9E"/>
    <w:rsid w:val="00B352C6"/>
    <w:rsid w:val="00B354B8"/>
    <w:rsid w:val="00B358F4"/>
    <w:rsid w:val="00B35C0B"/>
    <w:rsid w:val="00B361C9"/>
    <w:rsid w:val="00B3624E"/>
    <w:rsid w:val="00B36AF7"/>
    <w:rsid w:val="00B36B01"/>
    <w:rsid w:val="00B37195"/>
    <w:rsid w:val="00B37219"/>
    <w:rsid w:val="00B374C3"/>
    <w:rsid w:val="00B37781"/>
    <w:rsid w:val="00B377E8"/>
    <w:rsid w:val="00B4086C"/>
    <w:rsid w:val="00B40B6D"/>
    <w:rsid w:val="00B40FE3"/>
    <w:rsid w:val="00B41019"/>
    <w:rsid w:val="00B413D1"/>
    <w:rsid w:val="00B4172F"/>
    <w:rsid w:val="00B418F4"/>
    <w:rsid w:val="00B41E85"/>
    <w:rsid w:val="00B426AC"/>
    <w:rsid w:val="00B42755"/>
    <w:rsid w:val="00B4282C"/>
    <w:rsid w:val="00B42B26"/>
    <w:rsid w:val="00B42D0B"/>
    <w:rsid w:val="00B4384F"/>
    <w:rsid w:val="00B448CD"/>
    <w:rsid w:val="00B4499E"/>
    <w:rsid w:val="00B44B71"/>
    <w:rsid w:val="00B4521F"/>
    <w:rsid w:val="00B4545D"/>
    <w:rsid w:val="00B4568F"/>
    <w:rsid w:val="00B456C4"/>
    <w:rsid w:val="00B4614E"/>
    <w:rsid w:val="00B46700"/>
    <w:rsid w:val="00B46CB5"/>
    <w:rsid w:val="00B477DA"/>
    <w:rsid w:val="00B47851"/>
    <w:rsid w:val="00B50373"/>
    <w:rsid w:val="00B503BD"/>
    <w:rsid w:val="00B504ED"/>
    <w:rsid w:val="00B508D9"/>
    <w:rsid w:val="00B5095C"/>
    <w:rsid w:val="00B50CD0"/>
    <w:rsid w:val="00B50D30"/>
    <w:rsid w:val="00B50EBA"/>
    <w:rsid w:val="00B50FD6"/>
    <w:rsid w:val="00B5131F"/>
    <w:rsid w:val="00B51DD7"/>
    <w:rsid w:val="00B51EE6"/>
    <w:rsid w:val="00B53629"/>
    <w:rsid w:val="00B5376C"/>
    <w:rsid w:val="00B53ADF"/>
    <w:rsid w:val="00B53AEF"/>
    <w:rsid w:val="00B53B9E"/>
    <w:rsid w:val="00B53E4D"/>
    <w:rsid w:val="00B53F83"/>
    <w:rsid w:val="00B540D5"/>
    <w:rsid w:val="00B54148"/>
    <w:rsid w:val="00B5422C"/>
    <w:rsid w:val="00B54509"/>
    <w:rsid w:val="00B54B3A"/>
    <w:rsid w:val="00B54C97"/>
    <w:rsid w:val="00B551EC"/>
    <w:rsid w:val="00B556BF"/>
    <w:rsid w:val="00B55786"/>
    <w:rsid w:val="00B5643D"/>
    <w:rsid w:val="00B569DA"/>
    <w:rsid w:val="00B56E40"/>
    <w:rsid w:val="00B5702C"/>
    <w:rsid w:val="00B5736C"/>
    <w:rsid w:val="00B577ED"/>
    <w:rsid w:val="00B57AFB"/>
    <w:rsid w:val="00B6016F"/>
    <w:rsid w:val="00B60F6F"/>
    <w:rsid w:val="00B60F9E"/>
    <w:rsid w:val="00B6115D"/>
    <w:rsid w:val="00B611E0"/>
    <w:rsid w:val="00B6174F"/>
    <w:rsid w:val="00B61D54"/>
    <w:rsid w:val="00B61E50"/>
    <w:rsid w:val="00B62690"/>
    <w:rsid w:val="00B6269A"/>
    <w:rsid w:val="00B62812"/>
    <w:rsid w:val="00B62824"/>
    <w:rsid w:val="00B62A37"/>
    <w:rsid w:val="00B63357"/>
    <w:rsid w:val="00B633DC"/>
    <w:rsid w:val="00B6370F"/>
    <w:rsid w:val="00B63D91"/>
    <w:rsid w:val="00B6431B"/>
    <w:rsid w:val="00B64541"/>
    <w:rsid w:val="00B64CFC"/>
    <w:rsid w:val="00B65716"/>
    <w:rsid w:val="00B657D4"/>
    <w:rsid w:val="00B65E68"/>
    <w:rsid w:val="00B66AF9"/>
    <w:rsid w:val="00B66BA7"/>
    <w:rsid w:val="00B66E28"/>
    <w:rsid w:val="00B67003"/>
    <w:rsid w:val="00B675DD"/>
    <w:rsid w:val="00B67C07"/>
    <w:rsid w:val="00B67FA5"/>
    <w:rsid w:val="00B703A9"/>
    <w:rsid w:val="00B70698"/>
    <w:rsid w:val="00B7079D"/>
    <w:rsid w:val="00B70E01"/>
    <w:rsid w:val="00B70EE8"/>
    <w:rsid w:val="00B71794"/>
    <w:rsid w:val="00B71FAC"/>
    <w:rsid w:val="00B72B4D"/>
    <w:rsid w:val="00B72F19"/>
    <w:rsid w:val="00B72F2C"/>
    <w:rsid w:val="00B7325C"/>
    <w:rsid w:val="00B73476"/>
    <w:rsid w:val="00B741E8"/>
    <w:rsid w:val="00B7474F"/>
    <w:rsid w:val="00B7517A"/>
    <w:rsid w:val="00B75AD1"/>
    <w:rsid w:val="00B76D55"/>
    <w:rsid w:val="00B76DE3"/>
    <w:rsid w:val="00B77449"/>
    <w:rsid w:val="00B77531"/>
    <w:rsid w:val="00B77828"/>
    <w:rsid w:val="00B77936"/>
    <w:rsid w:val="00B77DBD"/>
    <w:rsid w:val="00B806C8"/>
    <w:rsid w:val="00B80797"/>
    <w:rsid w:val="00B8093C"/>
    <w:rsid w:val="00B80986"/>
    <w:rsid w:val="00B80DF9"/>
    <w:rsid w:val="00B817C5"/>
    <w:rsid w:val="00B81ED3"/>
    <w:rsid w:val="00B828D2"/>
    <w:rsid w:val="00B82DA0"/>
    <w:rsid w:val="00B83053"/>
    <w:rsid w:val="00B83845"/>
    <w:rsid w:val="00B83DD6"/>
    <w:rsid w:val="00B841D5"/>
    <w:rsid w:val="00B8467F"/>
    <w:rsid w:val="00B8472D"/>
    <w:rsid w:val="00B84A51"/>
    <w:rsid w:val="00B84B8E"/>
    <w:rsid w:val="00B84E69"/>
    <w:rsid w:val="00B84F61"/>
    <w:rsid w:val="00B85397"/>
    <w:rsid w:val="00B857B8"/>
    <w:rsid w:val="00B858EA"/>
    <w:rsid w:val="00B85D85"/>
    <w:rsid w:val="00B85E9F"/>
    <w:rsid w:val="00B8616B"/>
    <w:rsid w:val="00B86C44"/>
    <w:rsid w:val="00B86E93"/>
    <w:rsid w:val="00B86F23"/>
    <w:rsid w:val="00B9019D"/>
    <w:rsid w:val="00B90A43"/>
    <w:rsid w:val="00B90C4A"/>
    <w:rsid w:val="00B916DD"/>
    <w:rsid w:val="00B91B43"/>
    <w:rsid w:val="00B91BE0"/>
    <w:rsid w:val="00B92349"/>
    <w:rsid w:val="00B92BC4"/>
    <w:rsid w:val="00B92C13"/>
    <w:rsid w:val="00B92C77"/>
    <w:rsid w:val="00B92E78"/>
    <w:rsid w:val="00B93EEF"/>
    <w:rsid w:val="00B94108"/>
    <w:rsid w:val="00B94909"/>
    <w:rsid w:val="00B94D90"/>
    <w:rsid w:val="00B95151"/>
    <w:rsid w:val="00B9616D"/>
    <w:rsid w:val="00B965C6"/>
    <w:rsid w:val="00BA02C2"/>
    <w:rsid w:val="00BA040D"/>
    <w:rsid w:val="00BA0AF0"/>
    <w:rsid w:val="00BA1167"/>
    <w:rsid w:val="00BA1846"/>
    <w:rsid w:val="00BA20C4"/>
    <w:rsid w:val="00BA2C1A"/>
    <w:rsid w:val="00BA2CA7"/>
    <w:rsid w:val="00BA2E57"/>
    <w:rsid w:val="00BA2E9B"/>
    <w:rsid w:val="00BA343A"/>
    <w:rsid w:val="00BA3817"/>
    <w:rsid w:val="00BA3A4F"/>
    <w:rsid w:val="00BA3B64"/>
    <w:rsid w:val="00BA40EB"/>
    <w:rsid w:val="00BA4109"/>
    <w:rsid w:val="00BA4A84"/>
    <w:rsid w:val="00BA5239"/>
    <w:rsid w:val="00BA545B"/>
    <w:rsid w:val="00BA54B0"/>
    <w:rsid w:val="00BA552C"/>
    <w:rsid w:val="00BA5C82"/>
    <w:rsid w:val="00BA5CA1"/>
    <w:rsid w:val="00BA65A0"/>
    <w:rsid w:val="00BA69F7"/>
    <w:rsid w:val="00BA6AF3"/>
    <w:rsid w:val="00BA6DDC"/>
    <w:rsid w:val="00BA743D"/>
    <w:rsid w:val="00BA747A"/>
    <w:rsid w:val="00BB03F7"/>
    <w:rsid w:val="00BB050E"/>
    <w:rsid w:val="00BB0D15"/>
    <w:rsid w:val="00BB0F96"/>
    <w:rsid w:val="00BB174B"/>
    <w:rsid w:val="00BB2B43"/>
    <w:rsid w:val="00BB3593"/>
    <w:rsid w:val="00BB35A2"/>
    <w:rsid w:val="00BB3782"/>
    <w:rsid w:val="00BB3809"/>
    <w:rsid w:val="00BB3A27"/>
    <w:rsid w:val="00BB3E1E"/>
    <w:rsid w:val="00BB43F3"/>
    <w:rsid w:val="00BB4547"/>
    <w:rsid w:val="00BB45F2"/>
    <w:rsid w:val="00BB50FD"/>
    <w:rsid w:val="00BB5377"/>
    <w:rsid w:val="00BB57C7"/>
    <w:rsid w:val="00BB5CBD"/>
    <w:rsid w:val="00BB5DB8"/>
    <w:rsid w:val="00BB5FE8"/>
    <w:rsid w:val="00BB647B"/>
    <w:rsid w:val="00BB77EC"/>
    <w:rsid w:val="00BB7E84"/>
    <w:rsid w:val="00BC0186"/>
    <w:rsid w:val="00BC047C"/>
    <w:rsid w:val="00BC0B09"/>
    <w:rsid w:val="00BC0D0F"/>
    <w:rsid w:val="00BC0D54"/>
    <w:rsid w:val="00BC0FD5"/>
    <w:rsid w:val="00BC123D"/>
    <w:rsid w:val="00BC14FB"/>
    <w:rsid w:val="00BC2041"/>
    <w:rsid w:val="00BC264A"/>
    <w:rsid w:val="00BC2F3E"/>
    <w:rsid w:val="00BC3679"/>
    <w:rsid w:val="00BC377B"/>
    <w:rsid w:val="00BC413A"/>
    <w:rsid w:val="00BC438F"/>
    <w:rsid w:val="00BC492B"/>
    <w:rsid w:val="00BC4A76"/>
    <w:rsid w:val="00BC4FD8"/>
    <w:rsid w:val="00BC5194"/>
    <w:rsid w:val="00BC5C3C"/>
    <w:rsid w:val="00BC5D52"/>
    <w:rsid w:val="00BC6547"/>
    <w:rsid w:val="00BC72D7"/>
    <w:rsid w:val="00BC72D8"/>
    <w:rsid w:val="00BC78B2"/>
    <w:rsid w:val="00BC7A9E"/>
    <w:rsid w:val="00BC7BDB"/>
    <w:rsid w:val="00BD0310"/>
    <w:rsid w:val="00BD0714"/>
    <w:rsid w:val="00BD0853"/>
    <w:rsid w:val="00BD0870"/>
    <w:rsid w:val="00BD0B4E"/>
    <w:rsid w:val="00BD126A"/>
    <w:rsid w:val="00BD132A"/>
    <w:rsid w:val="00BD1378"/>
    <w:rsid w:val="00BD167A"/>
    <w:rsid w:val="00BD1ECF"/>
    <w:rsid w:val="00BD22F5"/>
    <w:rsid w:val="00BD2516"/>
    <w:rsid w:val="00BD25C8"/>
    <w:rsid w:val="00BD25D2"/>
    <w:rsid w:val="00BD28B6"/>
    <w:rsid w:val="00BD29B2"/>
    <w:rsid w:val="00BD2B8F"/>
    <w:rsid w:val="00BD2D14"/>
    <w:rsid w:val="00BD31C7"/>
    <w:rsid w:val="00BD3221"/>
    <w:rsid w:val="00BD3B6A"/>
    <w:rsid w:val="00BD3E13"/>
    <w:rsid w:val="00BD524E"/>
    <w:rsid w:val="00BD581A"/>
    <w:rsid w:val="00BD59D8"/>
    <w:rsid w:val="00BD663C"/>
    <w:rsid w:val="00BD69BC"/>
    <w:rsid w:val="00BD6CF0"/>
    <w:rsid w:val="00BD6E4F"/>
    <w:rsid w:val="00BD718A"/>
    <w:rsid w:val="00BD742F"/>
    <w:rsid w:val="00BD7622"/>
    <w:rsid w:val="00BD7CC5"/>
    <w:rsid w:val="00BD7CC7"/>
    <w:rsid w:val="00BE0279"/>
    <w:rsid w:val="00BE07D1"/>
    <w:rsid w:val="00BE0BFB"/>
    <w:rsid w:val="00BE0C18"/>
    <w:rsid w:val="00BE0E22"/>
    <w:rsid w:val="00BE102D"/>
    <w:rsid w:val="00BE158C"/>
    <w:rsid w:val="00BE1F39"/>
    <w:rsid w:val="00BE2448"/>
    <w:rsid w:val="00BE2521"/>
    <w:rsid w:val="00BE2A2D"/>
    <w:rsid w:val="00BE2D37"/>
    <w:rsid w:val="00BE30BC"/>
    <w:rsid w:val="00BE34F5"/>
    <w:rsid w:val="00BE35D6"/>
    <w:rsid w:val="00BE378F"/>
    <w:rsid w:val="00BE3CD4"/>
    <w:rsid w:val="00BE4668"/>
    <w:rsid w:val="00BE4743"/>
    <w:rsid w:val="00BE4A25"/>
    <w:rsid w:val="00BE4BD4"/>
    <w:rsid w:val="00BE55E3"/>
    <w:rsid w:val="00BE56E3"/>
    <w:rsid w:val="00BE5805"/>
    <w:rsid w:val="00BE5C4F"/>
    <w:rsid w:val="00BE61E7"/>
    <w:rsid w:val="00BE6968"/>
    <w:rsid w:val="00BE6A5E"/>
    <w:rsid w:val="00BE7272"/>
    <w:rsid w:val="00BE749F"/>
    <w:rsid w:val="00BE7507"/>
    <w:rsid w:val="00BE76F1"/>
    <w:rsid w:val="00BE78B2"/>
    <w:rsid w:val="00BE7D22"/>
    <w:rsid w:val="00BE7E00"/>
    <w:rsid w:val="00BE7F88"/>
    <w:rsid w:val="00BF0425"/>
    <w:rsid w:val="00BF0859"/>
    <w:rsid w:val="00BF0FC8"/>
    <w:rsid w:val="00BF1EB9"/>
    <w:rsid w:val="00BF1EE2"/>
    <w:rsid w:val="00BF235E"/>
    <w:rsid w:val="00BF2944"/>
    <w:rsid w:val="00BF39B0"/>
    <w:rsid w:val="00BF3D0E"/>
    <w:rsid w:val="00BF3DF6"/>
    <w:rsid w:val="00BF447B"/>
    <w:rsid w:val="00BF4579"/>
    <w:rsid w:val="00BF4639"/>
    <w:rsid w:val="00BF4686"/>
    <w:rsid w:val="00BF4A0B"/>
    <w:rsid w:val="00BF4C53"/>
    <w:rsid w:val="00BF4DFF"/>
    <w:rsid w:val="00BF52B4"/>
    <w:rsid w:val="00BF5EFB"/>
    <w:rsid w:val="00BF5F12"/>
    <w:rsid w:val="00BF6030"/>
    <w:rsid w:val="00BF61CD"/>
    <w:rsid w:val="00BF67C0"/>
    <w:rsid w:val="00BF6885"/>
    <w:rsid w:val="00BF6B2D"/>
    <w:rsid w:val="00BF6C95"/>
    <w:rsid w:val="00BF7408"/>
    <w:rsid w:val="00BF74EC"/>
    <w:rsid w:val="00BF7C8C"/>
    <w:rsid w:val="00BF7F87"/>
    <w:rsid w:val="00C00773"/>
    <w:rsid w:val="00C00EA7"/>
    <w:rsid w:val="00C01070"/>
    <w:rsid w:val="00C01924"/>
    <w:rsid w:val="00C01D48"/>
    <w:rsid w:val="00C02247"/>
    <w:rsid w:val="00C0269E"/>
    <w:rsid w:val="00C0295D"/>
    <w:rsid w:val="00C02961"/>
    <w:rsid w:val="00C03119"/>
    <w:rsid w:val="00C039C1"/>
    <w:rsid w:val="00C039CE"/>
    <w:rsid w:val="00C04252"/>
    <w:rsid w:val="00C045CB"/>
    <w:rsid w:val="00C04A11"/>
    <w:rsid w:val="00C04B49"/>
    <w:rsid w:val="00C04C4D"/>
    <w:rsid w:val="00C051A0"/>
    <w:rsid w:val="00C05202"/>
    <w:rsid w:val="00C05272"/>
    <w:rsid w:val="00C05311"/>
    <w:rsid w:val="00C05508"/>
    <w:rsid w:val="00C05E80"/>
    <w:rsid w:val="00C05E86"/>
    <w:rsid w:val="00C06102"/>
    <w:rsid w:val="00C0613C"/>
    <w:rsid w:val="00C06210"/>
    <w:rsid w:val="00C0715B"/>
    <w:rsid w:val="00C074A5"/>
    <w:rsid w:val="00C074E8"/>
    <w:rsid w:val="00C07551"/>
    <w:rsid w:val="00C105DF"/>
    <w:rsid w:val="00C105F6"/>
    <w:rsid w:val="00C10706"/>
    <w:rsid w:val="00C10B7F"/>
    <w:rsid w:val="00C1158F"/>
    <w:rsid w:val="00C11988"/>
    <w:rsid w:val="00C11CD3"/>
    <w:rsid w:val="00C11E98"/>
    <w:rsid w:val="00C12003"/>
    <w:rsid w:val="00C126A3"/>
    <w:rsid w:val="00C12A0A"/>
    <w:rsid w:val="00C13016"/>
    <w:rsid w:val="00C135A5"/>
    <w:rsid w:val="00C1428D"/>
    <w:rsid w:val="00C1435E"/>
    <w:rsid w:val="00C1473D"/>
    <w:rsid w:val="00C14773"/>
    <w:rsid w:val="00C14A45"/>
    <w:rsid w:val="00C14D45"/>
    <w:rsid w:val="00C14E9A"/>
    <w:rsid w:val="00C14F5E"/>
    <w:rsid w:val="00C152E1"/>
    <w:rsid w:val="00C15BB1"/>
    <w:rsid w:val="00C15F22"/>
    <w:rsid w:val="00C15FCD"/>
    <w:rsid w:val="00C16152"/>
    <w:rsid w:val="00C167F8"/>
    <w:rsid w:val="00C176CE"/>
    <w:rsid w:val="00C17A58"/>
    <w:rsid w:val="00C17D15"/>
    <w:rsid w:val="00C17D3F"/>
    <w:rsid w:val="00C20176"/>
    <w:rsid w:val="00C202B6"/>
    <w:rsid w:val="00C2031C"/>
    <w:rsid w:val="00C20597"/>
    <w:rsid w:val="00C208E1"/>
    <w:rsid w:val="00C20981"/>
    <w:rsid w:val="00C2142F"/>
    <w:rsid w:val="00C21A1E"/>
    <w:rsid w:val="00C21D68"/>
    <w:rsid w:val="00C2284F"/>
    <w:rsid w:val="00C22A06"/>
    <w:rsid w:val="00C22B6C"/>
    <w:rsid w:val="00C23503"/>
    <w:rsid w:val="00C24709"/>
    <w:rsid w:val="00C24D0D"/>
    <w:rsid w:val="00C253D2"/>
    <w:rsid w:val="00C256C7"/>
    <w:rsid w:val="00C257A3"/>
    <w:rsid w:val="00C26A1C"/>
    <w:rsid w:val="00C27707"/>
    <w:rsid w:val="00C277E8"/>
    <w:rsid w:val="00C2781F"/>
    <w:rsid w:val="00C303C1"/>
    <w:rsid w:val="00C30DFA"/>
    <w:rsid w:val="00C311CA"/>
    <w:rsid w:val="00C31935"/>
    <w:rsid w:val="00C31A3D"/>
    <w:rsid w:val="00C31CAE"/>
    <w:rsid w:val="00C31FB2"/>
    <w:rsid w:val="00C320A7"/>
    <w:rsid w:val="00C320C9"/>
    <w:rsid w:val="00C32141"/>
    <w:rsid w:val="00C324D2"/>
    <w:rsid w:val="00C32832"/>
    <w:rsid w:val="00C32AB7"/>
    <w:rsid w:val="00C32B86"/>
    <w:rsid w:val="00C32ECA"/>
    <w:rsid w:val="00C33427"/>
    <w:rsid w:val="00C334AD"/>
    <w:rsid w:val="00C33543"/>
    <w:rsid w:val="00C3395C"/>
    <w:rsid w:val="00C34400"/>
    <w:rsid w:val="00C34C2B"/>
    <w:rsid w:val="00C35021"/>
    <w:rsid w:val="00C35173"/>
    <w:rsid w:val="00C35198"/>
    <w:rsid w:val="00C35529"/>
    <w:rsid w:val="00C35BCD"/>
    <w:rsid w:val="00C35F4B"/>
    <w:rsid w:val="00C3687A"/>
    <w:rsid w:val="00C368CE"/>
    <w:rsid w:val="00C36AC2"/>
    <w:rsid w:val="00C370E0"/>
    <w:rsid w:val="00C37171"/>
    <w:rsid w:val="00C373F8"/>
    <w:rsid w:val="00C37592"/>
    <w:rsid w:val="00C3771E"/>
    <w:rsid w:val="00C37818"/>
    <w:rsid w:val="00C37F83"/>
    <w:rsid w:val="00C40CB5"/>
    <w:rsid w:val="00C40CF0"/>
    <w:rsid w:val="00C40DEA"/>
    <w:rsid w:val="00C41359"/>
    <w:rsid w:val="00C41451"/>
    <w:rsid w:val="00C41631"/>
    <w:rsid w:val="00C41674"/>
    <w:rsid w:val="00C41CB6"/>
    <w:rsid w:val="00C42B26"/>
    <w:rsid w:val="00C42BCB"/>
    <w:rsid w:val="00C43919"/>
    <w:rsid w:val="00C43E5F"/>
    <w:rsid w:val="00C44498"/>
    <w:rsid w:val="00C4461C"/>
    <w:rsid w:val="00C456B8"/>
    <w:rsid w:val="00C45CD7"/>
    <w:rsid w:val="00C45E0B"/>
    <w:rsid w:val="00C45F95"/>
    <w:rsid w:val="00C46231"/>
    <w:rsid w:val="00C462E3"/>
    <w:rsid w:val="00C46329"/>
    <w:rsid w:val="00C46D35"/>
    <w:rsid w:val="00C46D46"/>
    <w:rsid w:val="00C47885"/>
    <w:rsid w:val="00C47B46"/>
    <w:rsid w:val="00C47B80"/>
    <w:rsid w:val="00C47BB1"/>
    <w:rsid w:val="00C47C7F"/>
    <w:rsid w:val="00C508A0"/>
    <w:rsid w:val="00C508E3"/>
    <w:rsid w:val="00C514C7"/>
    <w:rsid w:val="00C51C79"/>
    <w:rsid w:val="00C51D5D"/>
    <w:rsid w:val="00C5218F"/>
    <w:rsid w:val="00C52D7F"/>
    <w:rsid w:val="00C52F75"/>
    <w:rsid w:val="00C531CB"/>
    <w:rsid w:val="00C53392"/>
    <w:rsid w:val="00C53CEB"/>
    <w:rsid w:val="00C53F90"/>
    <w:rsid w:val="00C543F4"/>
    <w:rsid w:val="00C54D66"/>
    <w:rsid w:val="00C54E30"/>
    <w:rsid w:val="00C54EA1"/>
    <w:rsid w:val="00C54EDE"/>
    <w:rsid w:val="00C550BF"/>
    <w:rsid w:val="00C55156"/>
    <w:rsid w:val="00C55E72"/>
    <w:rsid w:val="00C55FE0"/>
    <w:rsid w:val="00C56683"/>
    <w:rsid w:val="00C56816"/>
    <w:rsid w:val="00C568F8"/>
    <w:rsid w:val="00C569F5"/>
    <w:rsid w:val="00C57AF6"/>
    <w:rsid w:val="00C57DFD"/>
    <w:rsid w:val="00C57E77"/>
    <w:rsid w:val="00C60373"/>
    <w:rsid w:val="00C6047E"/>
    <w:rsid w:val="00C61066"/>
    <w:rsid w:val="00C612A0"/>
    <w:rsid w:val="00C6148C"/>
    <w:rsid w:val="00C6150F"/>
    <w:rsid w:val="00C616BD"/>
    <w:rsid w:val="00C61C05"/>
    <w:rsid w:val="00C61FDF"/>
    <w:rsid w:val="00C622FB"/>
    <w:rsid w:val="00C626C2"/>
    <w:rsid w:val="00C62920"/>
    <w:rsid w:val="00C63379"/>
    <w:rsid w:val="00C633AF"/>
    <w:rsid w:val="00C63D07"/>
    <w:rsid w:val="00C64C72"/>
    <w:rsid w:val="00C663C8"/>
    <w:rsid w:val="00C6640F"/>
    <w:rsid w:val="00C66886"/>
    <w:rsid w:val="00C66E57"/>
    <w:rsid w:val="00C67E94"/>
    <w:rsid w:val="00C70794"/>
    <w:rsid w:val="00C7090F"/>
    <w:rsid w:val="00C70C41"/>
    <w:rsid w:val="00C716AB"/>
    <w:rsid w:val="00C71A56"/>
    <w:rsid w:val="00C71AF3"/>
    <w:rsid w:val="00C71D34"/>
    <w:rsid w:val="00C71D97"/>
    <w:rsid w:val="00C71E56"/>
    <w:rsid w:val="00C72054"/>
    <w:rsid w:val="00C73138"/>
    <w:rsid w:val="00C7364C"/>
    <w:rsid w:val="00C73B95"/>
    <w:rsid w:val="00C73D2E"/>
    <w:rsid w:val="00C73EE5"/>
    <w:rsid w:val="00C74467"/>
    <w:rsid w:val="00C7455F"/>
    <w:rsid w:val="00C74CFB"/>
    <w:rsid w:val="00C74D78"/>
    <w:rsid w:val="00C751D2"/>
    <w:rsid w:val="00C75548"/>
    <w:rsid w:val="00C755F8"/>
    <w:rsid w:val="00C75A22"/>
    <w:rsid w:val="00C75B7F"/>
    <w:rsid w:val="00C7601E"/>
    <w:rsid w:val="00C7614D"/>
    <w:rsid w:val="00C764FA"/>
    <w:rsid w:val="00C76537"/>
    <w:rsid w:val="00C76623"/>
    <w:rsid w:val="00C76AC2"/>
    <w:rsid w:val="00C76F02"/>
    <w:rsid w:val="00C77161"/>
    <w:rsid w:val="00C80765"/>
    <w:rsid w:val="00C80FA6"/>
    <w:rsid w:val="00C81758"/>
    <w:rsid w:val="00C817AE"/>
    <w:rsid w:val="00C8183A"/>
    <w:rsid w:val="00C81A1D"/>
    <w:rsid w:val="00C81AF2"/>
    <w:rsid w:val="00C820F5"/>
    <w:rsid w:val="00C822BA"/>
    <w:rsid w:val="00C8233E"/>
    <w:rsid w:val="00C82B20"/>
    <w:rsid w:val="00C82B99"/>
    <w:rsid w:val="00C83364"/>
    <w:rsid w:val="00C83824"/>
    <w:rsid w:val="00C841D3"/>
    <w:rsid w:val="00C8431B"/>
    <w:rsid w:val="00C84378"/>
    <w:rsid w:val="00C84A0E"/>
    <w:rsid w:val="00C84D5A"/>
    <w:rsid w:val="00C853BA"/>
    <w:rsid w:val="00C85565"/>
    <w:rsid w:val="00C85B55"/>
    <w:rsid w:val="00C861A6"/>
    <w:rsid w:val="00C862F5"/>
    <w:rsid w:val="00C86683"/>
    <w:rsid w:val="00C86AD3"/>
    <w:rsid w:val="00C86CAB"/>
    <w:rsid w:val="00C87747"/>
    <w:rsid w:val="00C87A43"/>
    <w:rsid w:val="00C87DA3"/>
    <w:rsid w:val="00C9019B"/>
    <w:rsid w:val="00C901FD"/>
    <w:rsid w:val="00C9034B"/>
    <w:rsid w:val="00C90640"/>
    <w:rsid w:val="00C90E83"/>
    <w:rsid w:val="00C91714"/>
    <w:rsid w:val="00C918DA"/>
    <w:rsid w:val="00C91926"/>
    <w:rsid w:val="00C91F5E"/>
    <w:rsid w:val="00C927CD"/>
    <w:rsid w:val="00C92AC8"/>
    <w:rsid w:val="00C92D00"/>
    <w:rsid w:val="00C93F54"/>
    <w:rsid w:val="00C942B4"/>
    <w:rsid w:val="00C94F84"/>
    <w:rsid w:val="00C95551"/>
    <w:rsid w:val="00C9586F"/>
    <w:rsid w:val="00C95AB3"/>
    <w:rsid w:val="00C9600C"/>
    <w:rsid w:val="00C96B60"/>
    <w:rsid w:val="00C96C8C"/>
    <w:rsid w:val="00C96CA1"/>
    <w:rsid w:val="00C97506"/>
    <w:rsid w:val="00C97540"/>
    <w:rsid w:val="00C976B1"/>
    <w:rsid w:val="00CA07D4"/>
    <w:rsid w:val="00CA091E"/>
    <w:rsid w:val="00CA0BB8"/>
    <w:rsid w:val="00CA1132"/>
    <w:rsid w:val="00CA1210"/>
    <w:rsid w:val="00CA1325"/>
    <w:rsid w:val="00CA18C3"/>
    <w:rsid w:val="00CA324A"/>
    <w:rsid w:val="00CA36B7"/>
    <w:rsid w:val="00CA39D4"/>
    <w:rsid w:val="00CA3F04"/>
    <w:rsid w:val="00CA403A"/>
    <w:rsid w:val="00CA4119"/>
    <w:rsid w:val="00CA4CA6"/>
    <w:rsid w:val="00CA4FBD"/>
    <w:rsid w:val="00CA515C"/>
    <w:rsid w:val="00CA54D0"/>
    <w:rsid w:val="00CA5A87"/>
    <w:rsid w:val="00CA5AAC"/>
    <w:rsid w:val="00CA6994"/>
    <w:rsid w:val="00CA69C7"/>
    <w:rsid w:val="00CA6A7E"/>
    <w:rsid w:val="00CA6D2C"/>
    <w:rsid w:val="00CA709B"/>
    <w:rsid w:val="00CA7674"/>
    <w:rsid w:val="00CA774E"/>
    <w:rsid w:val="00CA78CF"/>
    <w:rsid w:val="00CA7BD4"/>
    <w:rsid w:val="00CA7EEF"/>
    <w:rsid w:val="00CA7F80"/>
    <w:rsid w:val="00CB0148"/>
    <w:rsid w:val="00CB0151"/>
    <w:rsid w:val="00CB0EC5"/>
    <w:rsid w:val="00CB1D08"/>
    <w:rsid w:val="00CB2126"/>
    <w:rsid w:val="00CB216B"/>
    <w:rsid w:val="00CB2584"/>
    <w:rsid w:val="00CB25B4"/>
    <w:rsid w:val="00CB2753"/>
    <w:rsid w:val="00CB281C"/>
    <w:rsid w:val="00CB28D2"/>
    <w:rsid w:val="00CB2C29"/>
    <w:rsid w:val="00CB30AF"/>
    <w:rsid w:val="00CB367F"/>
    <w:rsid w:val="00CB36EF"/>
    <w:rsid w:val="00CB3729"/>
    <w:rsid w:val="00CB4165"/>
    <w:rsid w:val="00CB44AA"/>
    <w:rsid w:val="00CB4BBB"/>
    <w:rsid w:val="00CB4DBB"/>
    <w:rsid w:val="00CB4F71"/>
    <w:rsid w:val="00CB5035"/>
    <w:rsid w:val="00CB532C"/>
    <w:rsid w:val="00CB54A5"/>
    <w:rsid w:val="00CB6563"/>
    <w:rsid w:val="00CB6B19"/>
    <w:rsid w:val="00CB72D5"/>
    <w:rsid w:val="00CB7379"/>
    <w:rsid w:val="00CB74E4"/>
    <w:rsid w:val="00CB781B"/>
    <w:rsid w:val="00CC01D7"/>
    <w:rsid w:val="00CC0268"/>
    <w:rsid w:val="00CC06A7"/>
    <w:rsid w:val="00CC1480"/>
    <w:rsid w:val="00CC1B90"/>
    <w:rsid w:val="00CC1BFF"/>
    <w:rsid w:val="00CC1EC8"/>
    <w:rsid w:val="00CC217D"/>
    <w:rsid w:val="00CC2313"/>
    <w:rsid w:val="00CC24FE"/>
    <w:rsid w:val="00CC280D"/>
    <w:rsid w:val="00CC2890"/>
    <w:rsid w:val="00CC291D"/>
    <w:rsid w:val="00CC299C"/>
    <w:rsid w:val="00CC2D9E"/>
    <w:rsid w:val="00CC2DCA"/>
    <w:rsid w:val="00CC2DF6"/>
    <w:rsid w:val="00CC2F6B"/>
    <w:rsid w:val="00CC32D3"/>
    <w:rsid w:val="00CC35C0"/>
    <w:rsid w:val="00CC3A53"/>
    <w:rsid w:val="00CC3DEA"/>
    <w:rsid w:val="00CC3EA3"/>
    <w:rsid w:val="00CC4047"/>
    <w:rsid w:val="00CC4F39"/>
    <w:rsid w:val="00CC52BF"/>
    <w:rsid w:val="00CC5381"/>
    <w:rsid w:val="00CC5A60"/>
    <w:rsid w:val="00CC663C"/>
    <w:rsid w:val="00CC67B1"/>
    <w:rsid w:val="00CC6BBE"/>
    <w:rsid w:val="00CC752F"/>
    <w:rsid w:val="00CC79A3"/>
    <w:rsid w:val="00CD00AE"/>
    <w:rsid w:val="00CD08D5"/>
    <w:rsid w:val="00CD0947"/>
    <w:rsid w:val="00CD0F91"/>
    <w:rsid w:val="00CD10AA"/>
    <w:rsid w:val="00CD13AC"/>
    <w:rsid w:val="00CD156A"/>
    <w:rsid w:val="00CD18D7"/>
    <w:rsid w:val="00CD1DD7"/>
    <w:rsid w:val="00CD20DB"/>
    <w:rsid w:val="00CD22B4"/>
    <w:rsid w:val="00CD26EB"/>
    <w:rsid w:val="00CD3948"/>
    <w:rsid w:val="00CD3C90"/>
    <w:rsid w:val="00CD3CBC"/>
    <w:rsid w:val="00CD3DD0"/>
    <w:rsid w:val="00CD4089"/>
    <w:rsid w:val="00CD4292"/>
    <w:rsid w:val="00CD45AF"/>
    <w:rsid w:val="00CD4670"/>
    <w:rsid w:val="00CD4D8D"/>
    <w:rsid w:val="00CD5068"/>
    <w:rsid w:val="00CD522E"/>
    <w:rsid w:val="00CD53EE"/>
    <w:rsid w:val="00CD55B3"/>
    <w:rsid w:val="00CD590C"/>
    <w:rsid w:val="00CD5AB4"/>
    <w:rsid w:val="00CD5C2D"/>
    <w:rsid w:val="00CD5FE2"/>
    <w:rsid w:val="00CD6135"/>
    <w:rsid w:val="00CD6694"/>
    <w:rsid w:val="00CD6751"/>
    <w:rsid w:val="00CD69A3"/>
    <w:rsid w:val="00CD6C08"/>
    <w:rsid w:val="00CD6C6E"/>
    <w:rsid w:val="00CD6CCD"/>
    <w:rsid w:val="00CD7050"/>
    <w:rsid w:val="00CE070E"/>
    <w:rsid w:val="00CE0A4C"/>
    <w:rsid w:val="00CE1593"/>
    <w:rsid w:val="00CE17F2"/>
    <w:rsid w:val="00CE1CFE"/>
    <w:rsid w:val="00CE1E83"/>
    <w:rsid w:val="00CE2370"/>
    <w:rsid w:val="00CE2888"/>
    <w:rsid w:val="00CE2FE6"/>
    <w:rsid w:val="00CE30A7"/>
    <w:rsid w:val="00CE3326"/>
    <w:rsid w:val="00CE340F"/>
    <w:rsid w:val="00CE3B2E"/>
    <w:rsid w:val="00CE3B47"/>
    <w:rsid w:val="00CE4143"/>
    <w:rsid w:val="00CE41D1"/>
    <w:rsid w:val="00CE464E"/>
    <w:rsid w:val="00CE4763"/>
    <w:rsid w:val="00CE4DAF"/>
    <w:rsid w:val="00CE56C6"/>
    <w:rsid w:val="00CE6131"/>
    <w:rsid w:val="00CE6B6B"/>
    <w:rsid w:val="00CE7007"/>
    <w:rsid w:val="00CE788B"/>
    <w:rsid w:val="00CE790C"/>
    <w:rsid w:val="00CE7969"/>
    <w:rsid w:val="00CF010E"/>
    <w:rsid w:val="00CF064E"/>
    <w:rsid w:val="00CF07F6"/>
    <w:rsid w:val="00CF1A14"/>
    <w:rsid w:val="00CF1EAC"/>
    <w:rsid w:val="00CF2C5D"/>
    <w:rsid w:val="00CF2FE7"/>
    <w:rsid w:val="00CF3569"/>
    <w:rsid w:val="00CF3B07"/>
    <w:rsid w:val="00CF3C08"/>
    <w:rsid w:val="00CF3F13"/>
    <w:rsid w:val="00CF403A"/>
    <w:rsid w:val="00CF459A"/>
    <w:rsid w:val="00CF45A5"/>
    <w:rsid w:val="00CF4A1B"/>
    <w:rsid w:val="00CF4E05"/>
    <w:rsid w:val="00CF4F95"/>
    <w:rsid w:val="00CF5155"/>
    <w:rsid w:val="00CF544E"/>
    <w:rsid w:val="00CF561B"/>
    <w:rsid w:val="00CF5761"/>
    <w:rsid w:val="00CF6788"/>
    <w:rsid w:val="00CF6A1D"/>
    <w:rsid w:val="00CF70A5"/>
    <w:rsid w:val="00CF7223"/>
    <w:rsid w:val="00CF7C68"/>
    <w:rsid w:val="00CF7C96"/>
    <w:rsid w:val="00D00152"/>
    <w:rsid w:val="00D001DF"/>
    <w:rsid w:val="00D00397"/>
    <w:rsid w:val="00D003DA"/>
    <w:rsid w:val="00D005AE"/>
    <w:rsid w:val="00D0088C"/>
    <w:rsid w:val="00D00C53"/>
    <w:rsid w:val="00D01150"/>
    <w:rsid w:val="00D01208"/>
    <w:rsid w:val="00D01DF2"/>
    <w:rsid w:val="00D020C0"/>
    <w:rsid w:val="00D020F0"/>
    <w:rsid w:val="00D02394"/>
    <w:rsid w:val="00D0296A"/>
    <w:rsid w:val="00D02DA1"/>
    <w:rsid w:val="00D033CF"/>
    <w:rsid w:val="00D0340D"/>
    <w:rsid w:val="00D038ED"/>
    <w:rsid w:val="00D046D3"/>
    <w:rsid w:val="00D04C6E"/>
    <w:rsid w:val="00D04F80"/>
    <w:rsid w:val="00D050BC"/>
    <w:rsid w:val="00D05741"/>
    <w:rsid w:val="00D05DAA"/>
    <w:rsid w:val="00D05E16"/>
    <w:rsid w:val="00D0614F"/>
    <w:rsid w:val="00D0685B"/>
    <w:rsid w:val="00D06CBE"/>
    <w:rsid w:val="00D06ECD"/>
    <w:rsid w:val="00D073A8"/>
    <w:rsid w:val="00D07588"/>
    <w:rsid w:val="00D07593"/>
    <w:rsid w:val="00D078D7"/>
    <w:rsid w:val="00D07CC0"/>
    <w:rsid w:val="00D07D59"/>
    <w:rsid w:val="00D105DB"/>
    <w:rsid w:val="00D107E0"/>
    <w:rsid w:val="00D10B6F"/>
    <w:rsid w:val="00D112B8"/>
    <w:rsid w:val="00D11319"/>
    <w:rsid w:val="00D119CF"/>
    <w:rsid w:val="00D11A71"/>
    <w:rsid w:val="00D11DEF"/>
    <w:rsid w:val="00D1218B"/>
    <w:rsid w:val="00D121B3"/>
    <w:rsid w:val="00D12B03"/>
    <w:rsid w:val="00D12E71"/>
    <w:rsid w:val="00D155CB"/>
    <w:rsid w:val="00D15A42"/>
    <w:rsid w:val="00D15D3C"/>
    <w:rsid w:val="00D15F98"/>
    <w:rsid w:val="00D170AD"/>
    <w:rsid w:val="00D17309"/>
    <w:rsid w:val="00D17FE3"/>
    <w:rsid w:val="00D2013B"/>
    <w:rsid w:val="00D20306"/>
    <w:rsid w:val="00D208D4"/>
    <w:rsid w:val="00D21404"/>
    <w:rsid w:val="00D21425"/>
    <w:rsid w:val="00D215C7"/>
    <w:rsid w:val="00D21DA0"/>
    <w:rsid w:val="00D21EF8"/>
    <w:rsid w:val="00D21FCA"/>
    <w:rsid w:val="00D22E65"/>
    <w:rsid w:val="00D23836"/>
    <w:rsid w:val="00D23A4B"/>
    <w:rsid w:val="00D23CCC"/>
    <w:rsid w:val="00D2477F"/>
    <w:rsid w:val="00D247F7"/>
    <w:rsid w:val="00D24854"/>
    <w:rsid w:val="00D24F45"/>
    <w:rsid w:val="00D252CB"/>
    <w:rsid w:val="00D260DA"/>
    <w:rsid w:val="00D26B07"/>
    <w:rsid w:val="00D26C26"/>
    <w:rsid w:val="00D26E88"/>
    <w:rsid w:val="00D27945"/>
    <w:rsid w:val="00D279CB"/>
    <w:rsid w:val="00D27EAB"/>
    <w:rsid w:val="00D27F4F"/>
    <w:rsid w:val="00D305C0"/>
    <w:rsid w:val="00D3071F"/>
    <w:rsid w:val="00D30E01"/>
    <w:rsid w:val="00D310E2"/>
    <w:rsid w:val="00D31177"/>
    <w:rsid w:val="00D3186D"/>
    <w:rsid w:val="00D32473"/>
    <w:rsid w:val="00D32DE8"/>
    <w:rsid w:val="00D337FE"/>
    <w:rsid w:val="00D33EAD"/>
    <w:rsid w:val="00D346AD"/>
    <w:rsid w:val="00D3490D"/>
    <w:rsid w:val="00D34BFB"/>
    <w:rsid w:val="00D34CFF"/>
    <w:rsid w:val="00D3574E"/>
    <w:rsid w:val="00D359D0"/>
    <w:rsid w:val="00D36094"/>
    <w:rsid w:val="00D36740"/>
    <w:rsid w:val="00D36B5A"/>
    <w:rsid w:val="00D376A8"/>
    <w:rsid w:val="00D401FC"/>
    <w:rsid w:val="00D404CC"/>
    <w:rsid w:val="00D406CD"/>
    <w:rsid w:val="00D40897"/>
    <w:rsid w:val="00D40B5D"/>
    <w:rsid w:val="00D40F30"/>
    <w:rsid w:val="00D411A6"/>
    <w:rsid w:val="00D4130C"/>
    <w:rsid w:val="00D4155F"/>
    <w:rsid w:val="00D41A3F"/>
    <w:rsid w:val="00D41DC9"/>
    <w:rsid w:val="00D4209A"/>
    <w:rsid w:val="00D42BC3"/>
    <w:rsid w:val="00D43A09"/>
    <w:rsid w:val="00D43CC8"/>
    <w:rsid w:val="00D443E4"/>
    <w:rsid w:val="00D445A6"/>
    <w:rsid w:val="00D44BF4"/>
    <w:rsid w:val="00D452C4"/>
    <w:rsid w:val="00D45757"/>
    <w:rsid w:val="00D45C12"/>
    <w:rsid w:val="00D45E47"/>
    <w:rsid w:val="00D4636C"/>
    <w:rsid w:val="00D46431"/>
    <w:rsid w:val="00D46475"/>
    <w:rsid w:val="00D464B4"/>
    <w:rsid w:val="00D46D43"/>
    <w:rsid w:val="00D46F62"/>
    <w:rsid w:val="00D47267"/>
    <w:rsid w:val="00D4727D"/>
    <w:rsid w:val="00D47558"/>
    <w:rsid w:val="00D476CC"/>
    <w:rsid w:val="00D477CA"/>
    <w:rsid w:val="00D47850"/>
    <w:rsid w:val="00D47B41"/>
    <w:rsid w:val="00D47E5C"/>
    <w:rsid w:val="00D47EBB"/>
    <w:rsid w:val="00D509C0"/>
    <w:rsid w:val="00D50BCE"/>
    <w:rsid w:val="00D50E37"/>
    <w:rsid w:val="00D515FD"/>
    <w:rsid w:val="00D51D2B"/>
    <w:rsid w:val="00D52134"/>
    <w:rsid w:val="00D5250F"/>
    <w:rsid w:val="00D5288E"/>
    <w:rsid w:val="00D52AE2"/>
    <w:rsid w:val="00D52C9C"/>
    <w:rsid w:val="00D5307D"/>
    <w:rsid w:val="00D5323C"/>
    <w:rsid w:val="00D53251"/>
    <w:rsid w:val="00D53639"/>
    <w:rsid w:val="00D53687"/>
    <w:rsid w:val="00D5382B"/>
    <w:rsid w:val="00D53DBA"/>
    <w:rsid w:val="00D53FD9"/>
    <w:rsid w:val="00D54195"/>
    <w:rsid w:val="00D545DA"/>
    <w:rsid w:val="00D54A03"/>
    <w:rsid w:val="00D54CF1"/>
    <w:rsid w:val="00D5504D"/>
    <w:rsid w:val="00D55661"/>
    <w:rsid w:val="00D558BE"/>
    <w:rsid w:val="00D55E80"/>
    <w:rsid w:val="00D5623E"/>
    <w:rsid w:val="00D5643E"/>
    <w:rsid w:val="00D569A3"/>
    <w:rsid w:val="00D56A97"/>
    <w:rsid w:val="00D57308"/>
    <w:rsid w:val="00D57B51"/>
    <w:rsid w:val="00D57B55"/>
    <w:rsid w:val="00D602B0"/>
    <w:rsid w:val="00D60798"/>
    <w:rsid w:val="00D61558"/>
    <w:rsid w:val="00D6196F"/>
    <w:rsid w:val="00D61AD4"/>
    <w:rsid w:val="00D61C98"/>
    <w:rsid w:val="00D6229F"/>
    <w:rsid w:val="00D622AE"/>
    <w:rsid w:val="00D6241C"/>
    <w:rsid w:val="00D62481"/>
    <w:rsid w:val="00D6251D"/>
    <w:rsid w:val="00D62A62"/>
    <w:rsid w:val="00D63880"/>
    <w:rsid w:val="00D639D7"/>
    <w:rsid w:val="00D63CAD"/>
    <w:rsid w:val="00D63D5F"/>
    <w:rsid w:val="00D63DE8"/>
    <w:rsid w:val="00D63F2B"/>
    <w:rsid w:val="00D64515"/>
    <w:rsid w:val="00D64C63"/>
    <w:rsid w:val="00D64D3B"/>
    <w:rsid w:val="00D6655E"/>
    <w:rsid w:val="00D66945"/>
    <w:rsid w:val="00D66FB8"/>
    <w:rsid w:val="00D6747E"/>
    <w:rsid w:val="00D6762F"/>
    <w:rsid w:val="00D67B83"/>
    <w:rsid w:val="00D67C67"/>
    <w:rsid w:val="00D67D97"/>
    <w:rsid w:val="00D70BE4"/>
    <w:rsid w:val="00D71269"/>
    <w:rsid w:val="00D7133A"/>
    <w:rsid w:val="00D71629"/>
    <w:rsid w:val="00D718A3"/>
    <w:rsid w:val="00D718A5"/>
    <w:rsid w:val="00D726E5"/>
    <w:rsid w:val="00D72810"/>
    <w:rsid w:val="00D72985"/>
    <w:rsid w:val="00D73078"/>
    <w:rsid w:val="00D7329E"/>
    <w:rsid w:val="00D73427"/>
    <w:rsid w:val="00D73627"/>
    <w:rsid w:val="00D737A2"/>
    <w:rsid w:val="00D73B1C"/>
    <w:rsid w:val="00D73B35"/>
    <w:rsid w:val="00D73E37"/>
    <w:rsid w:val="00D740D3"/>
    <w:rsid w:val="00D745F6"/>
    <w:rsid w:val="00D752F9"/>
    <w:rsid w:val="00D75F01"/>
    <w:rsid w:val="00D760BA"/>
    <w:rsid w:val="00D761EF"/>
    <w:rsid w:val="00D770AB"/>
    <w:rsid w:val="00D77294"/>
    <w:rsid w:val="00D774BA"/>
    <w:rsid w:val="00D778CE"/>
    <w:rsid w:val="00D77C2E"/>
    <w:rsid w:val="00D80F47"/>
    <w:rsid w:val="00D813D6"/>
    <w:rsid w:val="00D814AA"/>
    <w:rsid w:val="00D81502"/>
    <w:rsid w:val="00D818D6"/>
    <w:rsid w:val="00D819FF"/>
    <w:rsid w:val="00D81C6B"/>
    <w:rsid w:val="00D8200C"/>
    <w:rsid w:val="00D82161"/>
    <w:rsid w:val="00D82201"/>
    <w:rsid w:val="00D82379"/>
    <w:rsid w:val="00D8324C"/>
    <w:rsid w:val="00D83414"/>
    <w:rsid w:val="00D837CE"/>
    <w:rsid w:val="00D83801"/>
    <w:rsid w:val="00D84444"/>
    <w:rsid w:val="00D846DA"/>
    <w:rsid w:val="00D8474F"/>
    <w:rsid w:val="00D850F0"/>
    <w:rsid w:val="00D855E5"/>
    <w:rsid w:val="00D85C18"/>
    <w:rsid w:val="00D8631B"/>
    <w:rsid w:val="00D86440"/>
    <w:rsid w:val="00D86B22"/>
    <w:rsid w:val="00D86DCF"/>
    <w:rsid w:val="00D86F73"/>
    <w:rsid w:val="00D876C2"/>
    <w:rsid w:val="00D87D99"/>
    <w:rsid w:val="00D87E94"/>
    <w:rsid w:val="00D87EAD"/>
    <w:rsid w:val="00D87FF9"/>
    <w:rsid w:val="00D900FB"/>
    <w:rsid w:val="00D9083D"/>
    <w:rsid w:val="00D90EB5"/>
    <w:rsid w:val="00D91AEA"/>
    <w:rsid w:val="00D91C2C"/>
    <w:rsid w:val="00D91CC2"/>
    <w:rsid w:val="00D920AC"/>
    <w:rsid w:val="00D928D9"/>
    <w:rsid w:val="00D92993"/>
    <w:rsid w:val="00D92D8A"/>
    <w:rsid w:val="00D92FFE"/>
    <w:rsid w:val="00D930E5"/>
    <w:rsid w:val="00D932C0"/>
    <w:rsid w:val="00D935B6"/>
    <w:rsid w:val="00D935D4"/>
    <w:rsid w:val="00D9413A"/>
    <w:rsid w:val="00D9422D"/>
    <w:rsid w:val="00D94233"/>
    <w:rsid w:val="00D94D6D"/>
    <w:rsid w:val="00D95291"/>
    <w:rsid w:val="00D95A5F"/>
    <w:rsid w:val="00D9613E"/>
    <w:rsid w:val="00D966C6"/>
    <w:rsid w:val="00D96CCC"/>
    <w:rsid w:val="00D974BB"/>
    <w:rsid w:val="00D97B5F"/>
    <w:rsid w:val="00D97DA5"/>
    <w:rsid w:val="00DA0724"/>
    <w:rsid w:val="00DA093E"/>
    <w:rsid w:val="00DA1209"/>
    <w:rsid w:val="00DA12F5"/>
    <w:rsid w:val="00DA141E"/>
    <w:rsid w:val="00DA1450"/>
    <w:rsid w:val="00DA1553"/>
    <w:rsid w:val="00DA15F3"/>
    <w:rsid w:val="00DA2614"/>
    <w:rsid w:val="00DA364D"/>
    <w:rsid w:val="00DA36DB"/>
    <w:rsid w:val="00DA4F50"/>
    <w:rsid w:val="00DA50FF"/>
    <w:rsid w:val="00DA557B"/>
    <w:rsid w:val="00DA5FF9"/>
    <w:rsid w:val="00DA6342"/>
    <w:rsid w:val="00DA670E"/>
    <w:rsid w:val="00DA6AE6"/>
    <w:rsid w:val="00DA6C18"/>
    <w:rsid w:val="00DA6FC3"/>
    <w:rsid w:val="00DA7037"/>
    <w:rsid w:val="00DA78BB"/>
    <w:rsid w:val="00DA78CB"/>
    <w:rsid w:val="00DB00C0"/>
    <w:rsid w:val="00DB0D59"/>
    <w:rsid w:val="00DB0FE1"/>
    <w:rsid w:val="00DB1E02"/>
    <w:rsid w:val="00DB1E17"/>
    <w:rsid w:val="00DB1F03"/>
    <w:rsid w:val="00DB228B"/>
    <w:rsid w:val="00DB2390"/>
    <w:rsid w:val="00DB2DD6"/>
    <w:rsid w:val="00DB2DF9"/>
    <w:rsid w:val="00DB3D06"/>
    <w:rsid w:val="00DB3FD3"/>
    <w:rsid w:val="00DB4363"/>
    <w:rsid w:val="00DB4435"/>
    <w:rsid w:val="00DB4586"/>
    <w:rsid w:val="00DB461D"/>
    <w:rsid w:val="00DB492C"/>
    <w:rsid w:val="00DB4C7B"/>
    <w:rsid w:val="00DB4DF6"/>
    <w:rsid w:val="00DB5576"/>
    <w:rsid w:val="00DB5FDC"/>
    <w:rsid w:val="00DB619A"/>
    <w:rsid w:val="00DB61D4"/>
    <w:rsid w:val="00DB640A"/>
    <w:rsid w:val="00DB6F2D"/>
    <w:rsid w:val="00DB7196"/>
    <w:rsid w:val="00DB73E3"/>
    <w:rsid w:val="00DB751E"/>
    <w:rsid w:val="00DB7AB2"/>
    <w:rsid w:val="00DC0CB7"/>
    <w:rsid w:val="00DC1011"/>
    <w:rsid w:val="00DC1928"/>
    <w:rsid w:val="00DC1FDA"/>
    <w:rsid w:val="00DC2236"/>
    <w:rsid w:val="00DC2E89"/>
    <w:rsid w:val="00DC3827"/>
    <w:rsid w:val="00DC4617"/>
    <w:rsid w:val="00DC4C28"/>
    <w:rsid w:val="00DC4C63"/>
    <w:rsid w:val="00DC516A"/>
    <w:rsid w:val="00DC5216"/>
    <w:rsid w:val="00DC5B65"/>
    <w:rsid w:val="00DC6319"/>
    <w:rsid w:val="00DC6DBE"/>
    <w:rsid w:val="00DC71E1"/>
    <w:rsid w:val="00DC7D2A"/>
    <w:rsid w:val="00DD04F6"/>
    <w:rsid w:val="00DD0A2F"/>
    <w:rsid w:val="00DD0DE0"/>
    <w:rsid w:val="00DD1380"/>
    <w:rsid w:val="00DD17C8"/>
    <w:rsid w:val="00DD1820"/>
    <w:rsid w:val="00DD1ED4"/>
    <w:rsid w:val="00DD1F5A"/>
    <w:rsid w:val="00DD1FB2"/>
    <w:rsid w:val="00DD2203"/>
    <w:rsid w:val="00DD26F0"/>
    <w:rsid w:val="00DD2D0A"/>
    <w:rsid w:val="00DD2D2E"/>
    <w:rsid w:val="00DD3504"/>
    <w:rsid w:val="00DD3516"/>
    <w:rsid w:val="00DD3674"/>
    <w:rsid w:val="00DD3E5E"/>
    <w:rsid w:val="00DD4072"/>
    <w:rsid w:val="00DD435E"/>
    <w:rsid w:val="00DD43DD"/>
    <w:rsid w:val="00DD471E"/>
    <w:rsid w:val="00DD54EB"/>
    <w:rsid w:val="00DD56B1"/>
    <w:rsid w:val="00DD5831"/>
    <w:rsid w:val="00DD5CCC"/>
    <w:rsid w:val="00DD5FA0"/>
    <w:rsid w:val="00DD618B"/>
    <w:rsid w:val="00DD63BB"/>
    <w:rsid w:val="00DD6437"/>
    <w:rsid w:val="00DD6B41"/>
    <w:rsid w:val="00DD6BFC"/>
    <w:rsid w:val="00DE0143"/>
    <w:rsid w:val="00DE05C0"/>
    <w:rsid w:val="00DE06D5"/>
    <w:rsid w:val="00DE0860"/>
    <w:rsid w:val="00DE0A84"/>
    <w:rsid w:val="00DE0C68"/>
    <w:rsid w:val="00DE1626"/>
    <w:rsid w:val="00DE1646"/>
    <w:rsid w:val="00DE18A4"/>
    <w:rsid w:val="00DE1CB3"/>
    <w:rsid w:val="00DE23E4"/>
    <w:rsid w:val="00DE2C66"/>
    <w:rsid w:val="00DE3CFA"/>
    <w:rsid w:val="00DE41DC"/>
    <w:rsid w:val="00DE46E0"/>
    <w:rsid w:val="00DE4C8E"/>
    <w:rsid w:val="00DE52BC"/>
    <w:rsid w:val="00DE58CE"/>
    <w:rsid w:val="00DE5B84"/>
    <w:rsid w:val="00DE5B94"/>
    <w:rsid w:val="00DE6853"/>
    <w:rsid w:val="00DE6DEE"/>
    <w:rsid w:val="00DE719A"/>
    <w:rsid w:val="00DE74E4"/>
    <w:rsid w:val="00DE79CF"/>
    <w:rsid w:val="00DF016D"/>
    <w:rsid w:val="00DF051A"/>
    <w:rsid w:val="00DF0790"/>
    <w:rsid w:val="00DF1630"/>
    <w:rsid w:val="00DF168F"/>
    <w:rsid w:val="00DF19CE"/>
    <w:rsid w:val="00DF1D59"/>
    <w:rsid w:val="00DF28E4"/>
    <w:rsid w:val="00DF291D"/>
    <w:rsid w:val="00DF36E5"/>
    <w:rsid w:val="00DF3B4B"/>
    <w:rsid w:val="00DF3EA3"/>
    <w:rsid w:val="00DF41E9"/>
    <w:rsid w:val="00DF430B"/>
    <w:rsid w:val="00DF4335"/>
    <w:rsid w:val="00DF438A"/>
    <w:rsid w:val="00DF45C1"/>
    <w:rsid w:val="00DF491B"/>
    <w:rsid w:val="00DF495A"/>
    <w:rsid w:val="00DF49E6"/>
    <w:rsid w:val="00DF4AB4"/>
    <w:rsid w:val="00DF4D6C"/>
    <w:rsid w:val="00DF5AFC"/>
    <w:rsid w:val="00DF625F"/>
    <w:rsid w:val="00DF62EA"/>
    <w:rsid w:val="00DF65FC"/>
    <w:rsid w:val="00DF66CD"/>
    <w:rsid w:val="00DF6B45"/>
    <w:rsid w:val="00DF6D5B"/>
    <w:rsid w:val="00E003CD"/>
    <w:rsid w:val="00E006CC"/>
    <w:rsid w:val="00E00EE8"/>
    <w:rsid w:val="00E01291"/>
    <w:rsid w:val="00E015BB"/>
    <w:rsid w:val="00E01622"/>
    <w:rsid w:val="00E01CB2"/>
    <w:rsid w:val="00E022A0"/>
    <w:rsid w:val="00E0230E"/>
    <w:rsid w:val="00E02DC8"/>
    <w:rsid w:val="00E03170"/>
    <w:rsid w:val="00E0351E"/>
    <w:rsid w:val="00E03526"/>
    <w:rsid w:val="00E039ED"/>
    <w:rsid w:val="00E04815"/>
    <w:rsid w:val="00E05764"/>
    <w:rsid w:val="00E05E0B"/>
    <w:rsid w:val="00E06914"/>
    <w:rsid w:val="00E072C9"/>
    <w:rsid w:val="00E07362"/>
    <w:rsid w:val="00E07373"/>
    <w:rsid w:val="00E07471"/>
    <w:rsid w:val="00E074FB"/>
    <w:rsid w:val="00E0752E"/>
    <w:rsid w:val="00E0765E"/>
    <w:rsid w:val="00E07968"/>
    <w:rsid w:val="00E07A25"/>
    <w:rsid w:val="00E07A49"/>
    <w:rsid w:val="00E101FE"/>
    <w:rsid w:val="00E10270"/>
    <w:rsid w:val="00E105A4"/>
    <w:rsid w:val="00E12193"/>
    <w:rsid w:val="00E12272"/>
    <w:rsid w:val="00E122F6"/>
    <w:rsid w:val="00E12317"/>
    <w:rsid w:val="00E12446"/>
    <w:rsid w:val="00E12DFF"/>
    <w:rsid w:val="00E12FFB"/>
    <w:rsid w:val="00E130B3"/>
    <w:rsid w:val="00E137A0"/>
    <w:rsid w:val="00E137DD"/>
    <w:rsid w:val="00E14045"/>
    <w:rsid w:val="00E14203"/>
    <w:rsid w:val="00E1420B"/>
    <w:rsid w:val="00E14A50"/>
    <w:rsid w:val="00E14C37"/>
    <w:rsid w:val="00E14E2B"/>
    <w:rsid w:val="00E1504D"/>
    <w:rsid w:val="00E15646"/>
    <w:rsid w:val="00E15781"/>
    <w:rsid w:val="00E15865"/>
    <w:rsid w:val="00E15EFC"/>
    <w:rsid w:val="00E1634F"/>
    <w:rsid w:val="00E163EA"/>
    <w:rsid w:val="00E16764"/>
    <w:rsid w:val="00E16AB2"/>
    <w:rsid w:val="00E170DD"/>
    <w:rsid w:val="00E172F1"/>
    <w:rsid w:val="00E173B7"/>
    <w:rsid w:val="00E173CC"/>
    <w:rsid w:val="00E17505"/>
    <w:rsid w:val="00E17F7F"/>
    <w:rsid w:val="00E17FF4"/>
    <w:rsid w:val="00E203AB"/>
    <w:rsid w:val="00E2067A"/>
    <w:rsid w:val="00E21833"/>
    <w:rsid w:val="00E221D6"/>
    <w:rsid w:val="00E22373"/>
    <w:rsid w:val="00E234C5"/>
    <w:rsid w:val="00E234C9"/>
    <w:rsid w:val="00E242D2"/>
    <w:rsid w:val="00E2447F"/>
    <w:rsid w:val="00E24839"/>
    <w:rsid w:val="00E24AA4"/>
    <w:rsid w:val="00E25126"/>
    <w:rsid w:val="00E25243"/>
    <w:rsid w:val="00E2524F"/>
    <w:rsid w:val="00E26467"/>
    <w:rsid w:val="00E267D2"/>
    <w:rsid w:val="00E268C8"/>
    <w:rsid w:val="00E26CD5"/>
    <w:rsid w:val="00E27611"/>
    <w:rsid w:val="00E2765C"/>
    <w:rsid w:val="00E30581"/>
    <w:rsid w:val="00E305B8"/>
    <w:rsid w:val="00E30D14"/>
    <w:rsid w:val="00E30EE7"/>
    <w:rsid w:val="00E310A2"/>
    <w:rsid w:val="00E31761"/>
    <w:rsid w:val="00E31CAB"/>
    <w:rsid w:val="00E31DB8"/>
    <w:rsid w:val="00E31F10"/>
    <w:rsid w:val="00E32CDA"/>
    <w:rsid w:val="00E335F1"/>
    <w:rsid w:val="00E336C7"/>
    <w:rsid w:val="00E343A0"/>
    <w:rsid w:val="00E343A8"/>
    <w:rsid w:val="00E3456C"/>
    <w:rsid w:val="00E346F1"/>
    <w:rsid w:val="00E34C74"/>
    <w:rsid w:val="00E34D6F"/>
    <w:rsid w:val="00E3530A"/>
    <w:rsid w:val="00E353A5"/>
    <w:rsid w:val="00E35A6C"/>
    <w:rsid w:val="00E35C46"/>
    <w:rsid w:val="00E35F3B"/>
    <w:rsid w:val="00E362B2"/>
    <w:rsid w:val="00E371AC"/>
    <w:rsid w:val="00E37B00"/>
    <w:rsid w:val="00E37BC0"/>
    <w:rsid w:val="00E37F40"/>
    <w:rsid w:val="00E40010"/>
    <w:rsid w:val="00E40575"/>
    <w:rsid w:val="00E41DAA"/>
    <w:rsid w:val="00E428A8"/>
    <w:rsid w:val="00E428C4"/>
    <w:rsid w:val="00E428CD"/>
    <w:rsid w:val="00E42B72"/>
    <w:rsid w:val="00E43391"/>
    <w:rsid w:val="00E437A1"/>
    <w:rsid w:val="00E438A5"/>
    <w:rsid w:val="00E43FE5"/>
    <w:rsid w:val="00E441CE"/>
    <w:rsid w:val="00E44B36"/>
    <w:rsid w:val="00E44BFB"/>
    <w:rsid w:val="00E44CA9"/>
    <w:rsid w:val="00E44E18"/>
    <w:rsid w:val="00E45D30"/>
    <w:rsid w:val="00E46A8D"/>
    <w:rsid w:val="00E46CE9"/>
    <w:rsid w:val="00E478AE"/>
    <w:rsid w:val="00E501AB"/>
    <w:rsid w:val="00E501F3"/>
    <w:rsid w:val="00E50374"/>
    <w:rsid w:val="00E5062D"/>
    <w:rsid w:val="00E50630"/>
    <w:rsid w:val="00E523A6"/>
    <w:rsid w:val="00E52481"/>
    <w:rsid w:val="00E52A39"/>
    <w:rsid w:val="00E52AAE"/>
    <w:rsid w:val="00E52C1D"/>
    <w:rsid w:val="00E52D91"/>
    <w:rsid w:val="00E52EDA"/>
    <w:rsid w:val="00E531D3"/>
    <w:rsid w:val="00E5342D"/>
    <w:rsid w:val="00E53945"/>
    <w:rsid w:val="00E53994"/>
    <w:rsid w:val="00E539C2"/>
    <w:rsid w:val="00E53B3D"/>
    <w:rsid w:val="00E54A7A"/>
    <w:rsid w:val="00E54B68"/>
    <w:rsid w:val="00E54C60"/>
    <w:rsid w:val="00E55014"/>
    <w:rsid w:val="00E550BE"/>
    <w:rsid w:val="00E5548C"/>
    <w:rsid w:val="00E5563F"/>
    <w:rsid w:val="00E55AD4"/>
    <w:rsid w:val="00E55D48"/>
    <w:rsid w:val="00E55EEC"/>
    <w:rsid w:val="00E56325"/>
    <w:rsid w:val="00E563DF"/>
    <w:rsid w:val="00E56609"/>
    <w:rsid w:val="00E5680D"/>
    <w:rsid w:val="00E5709A"/>
    <w:rsid w:val="00E57AC2"/>
    <w:rsid w:val="00E57BD3"/>
    <w:rsid w:val="00E57D99"/>
    <w:rsid w:val="00E57F66"/>
    <w:rsid w:val="00E600EB"/>
    <w:rsid w:val="00E60FBF"/>
    <w:rsid w:val="00E6142F"/>
    <w:rsid w:val="00E61DFB"/>
    <w:rsid w:val="00E62310"/>
    <w:rsid w:val="00E62999"/>
    <w:rsid w:val="00E62A59"/>
    <w:rsid w:val="00E632F2"/>
    <w:rsid w:val="00E63351"/>
    <w:rsid w:val="00E63B8B"/>
    <w:rsid w:val="00E63CF2"/>
    <w:rsid w:val="00E63D04"/>
    <w:rsid w:val="00E641C6"/>
    <w:rsid w:val="00E642D6"/>
    <w:rsid w:val="00E64348"/>
    <w:rsid w:val="00E6463C"/>
    <w:rsid w:val="00E64CC0"/>
    <w:rsid w:val="00E65F18"/>
    <w:rsid w:val="00E65FA4"/>
    <w:rsid w:val="00E66680"/>
    <w:rsid w:val="00E669E2"/>
    <w:rsid w:val="00E67770"/>
    <w:rsid w:val="00E67AC4"/>
    <w:rsid w:val="00E70976"/>
    <w:rsid w:val="00E70D47"/>
    <w:rsid w:val="00E70DF8"/>
    <w:rsid w:val="00E70EA7"/>
    <w:rsid w:val="00E713D3"/>
    <w:rsid w:val="00E71776"/>
    <w:rsid w:val="00E71A06"/>
    <w:rsid w:val="00E71FA7"/>
    <w:rsid w:val="00E72913"/>
    <w:rsid w:val="00E72BE3"/>
    <w:rsid w:val="00E72DE1"/>
    <w:rsid w:val="00E73237"/>
    <w:rsid w:val="00E733D7"/>
    <w:rsid w:val="00E73B1B"/>
    <w:rsid w:val="00E74789"/>
    <w:rsid w:val="00E74A19"/>
    <w:rsid w:val="00E74B71"/>
    <w:rsid w:val="00E74BAB"/>
    <w:rsid w:val="00E750E6"/>
    <w:rsid w:val="00E75205"/>
    <w:rsid w:val="00E759A4"/>
    <w:rsid w:val="00E7787C"/>
    <w:rsid w:val="00E77EEB"/>
    <w:rsid w:val="00E80CE9"/>
    <w:rsid w:val="00E80D93"/>
    <w:rsid w:val="00E80F4B"/>
    <w:rsid w:val="00E81116"/>
    <w:rsid w:val="00E81186"/>
    <w:rsid w:val="00E81777"/>
    <w:rsid w:val="00E818C2"/>
    <w:rsid w:val="00E81A4A"/>
    <w:rsid w:val="00E81B68"/>
    <w:rsid w:val="00E8244E"/>
    <w:rsid w:val="00E82450"/>
    <w:rsid w:val="00E82A44"/>
    <w:rsid w:val="00E839A9"/>
    <w:rsid w:val="00E83BDA"/>
    <w:rsid w:val="00E844F3"/>
    <w:rsid w:val="00E8483A"/>
    <w:rsid w:val="00E855EF"/>
    <w:rsid w:val="00E85ACF"/>
    <w:rsid w:val="00E85EED"/>
    <w:rsid w:val="00E869A7"/>
    <w:rsid w:val="00E86CED"/>
    <w:rsid w:val="00E8716E"/>
    <w:rsid w:val="00E87542"/>
    <w:rsid w:val="00E87579"/>
    <w:rsid w:val="00E90224"/>
    <w:rsid w:val="00E9097C"/>
    <w:rsid w:val="00E90C94"/>
    <w:rsid w:val="00E9116E"/>
    <w:rsid w:val="00E91402"/>
    <w:rsid w:val="00E91466"/>
    <w:rsid w:val="00E915F1"/>
    <w:rsid w:val="00E9171A"/>
    <w:rsid w:val="00E91D94"/>
    <w:rsid w:val="00E923DF"/>
    <w:rsid w:val="00E92620"/>
    <w:rsid w:val="00E9276B"/>
    <w:rsid w:val="00E92B1E"/>
    <w:rsid w:val="00E92F65"/>
    <w:rsid w:val="00E9373A"/>
    <w:rsid w:val="00E93AE5"/>
    <w:rsid w:val="00E93C2B"/>
    <w:rsid w:val="00E93E9F"/>
    <w:rsid w:val="00E94A8C"/>
    <w:rsid w:val="00E95248"/>
    <w:rsid w:val="00E95314"/>
    <w:rsid w:val="00E95C5B"/>
    <w:rsid w:val="00E96DCB"/>
    <w:rsid w:val="00E96EAC"/>
    <w:rsid w:val="00E96EAE"/>
    <w:rsid w:val="00E97BDC"/>
    <w:rsid w:val="00E97D8E"/>
    <w:rsid w:val="00E97E74"/>
    <w:rsid w:val="00EA0C77"/>
    <w:rsid w:val="00EA0F4F"/>
    <w:rsid w:val="00EA115E"/>
    <w:rsid w:val="00EA1A1A"/>
    <w:rsid w:val="00EA1B9B"/>
    <w:rsid w:val="00EA1E5A"/>
    <w:rsid w:val="00EA22B0"/>
    <w:rsid w:val="00EA2940"/>
    <w:rsid w:val="00EA35F2"/>
    <w:rsid w:val="00EA3614"/>
    <w:rsid w:val="00EA36B9"/>
    <w:rsid w:val="00EA37D8"/>
    <w:rsid w:val="00EA3B13"/>
    <w:rsid w:val="00EA4021"/>
    <w:rsid w:val="00EA452B"/>
    <w:rsid w:val="00EA488B"/>
    <w:rsid w:val="00EA5C23"/>
    <w:rsid w:val="00EA5EC8"/>
    <w:rsid w:val="00EA6050"/>
    <w:rsid w:val="00EA61FF"/>
    <w:rsid w:val="00EA6257"/>
    <w:rsid w:val="00EA69D2"/>
    <w:rsid w:val="00EA75F7"/>
    <w:rsid w:val="00EA7B5F"/>
    <w:rsid w:val="00EA7B9E"/>
    <w:rsid w:val="00EB01DA"/>
    <w:rsid w:val="00EB0A12"/>
    <w:rsid w:val="00EB0D3D"/>
    <w:rsid w:val="00EB1322"/>
    <w:rsid w:val="00EB2F8B"/>
    <w:rsid w:val="00EB32B7"/>
    <w:rsid w:val="00EB36AB"/>
    <w:rsid w:val="00EB36BE"/>
    <w:rsid w:val="00EB3A0F"/>
    <w:rsid w:val="00EB3B26"/>
    <w:rsid w:val="00EB42F8"/>
    <w:rsid w:val="00EB4BC3"/>
    <w:rsid w:val="00EB4CDB"/>
    <w:rsid w:val="00EB52B7"/>
    <w:rsid w:val="00EB544C"/>
    <w:rsid w:val="00EB59A0"/>
    <w:rsid w:val="00EB5BBA"/>
    <w:rsid w:val="00EB5C4D"/>
    <w:rsid w:val="00EB5E9C"/>
    <w:rsid w:val="00EB647A"/>
    <w:rsid w:val="00EB65B3"/>
    <w:rsid w:val="00EB6934"/>
    <w:rsid w:val="00EB6B38"/>
    <w:rsid w:val="00EB70AD"/>
    <w:rsid w:val="00EB7177"/>
    <w:rsid w:val="00EB7A23"/>
    <w:rsid w:val="00EB7B48"/>
    <w:rsid w:val="00EC01DD"/>
    <w:rsid w:val="00EC020C"/>
    <w:rsid w:val="00EC05A5"/>
    <w:rsid w:val="00EC062C"/>
    <w:rsid w:val="00EC07D2"/>
    <w:rsid w:val="00EC0C9B"/>
    <w:rsid w:val="00EC107B"/>
    <w:rsid w:val="00EC150F"/>
    <w:rsid w:val="00EC1B49"/>
    <w:rsid w:val="00EC1EA8"/>
    <w:rsid w:val="00EC1EB9"/>
    <w:rsid w:val="00EC1F5B"/>
    <w:rsid w:val="00EC255B"/>
    <w:rsid w:val="00EC316C"/>
    <w:rsid w:val="00EC33EB"/>
    <w:rsid w:val="00EC3A1A"/>
    <w:rsid w:val="00EC4616"/>
    <w:rsid w:val="00EC4759"/>
    <w:rsid w:val="00EC483D"/>
    <w:rsid w:val="00EC4DC7"/>
    <w:rsid w:val="00EC5994"/>
    <w:rsid w:val="00EC5A58"/>
    <w:rsid w:val="00EC5C70"/>
    <w:rsid w:val="00EC6081"/>
    <w:rsid w:val="00EC6483"/>
    <w:rsid w:val="00EC6694"/>
    <w:rsid w:val="00EC6D75"/>
    <w:rsid w:val="00EC6DBE"/>
    <w:rsid w:val="00EC6E6B"/>
    <w:rsid w:val="00EC6EBA"/>
    <w:rsid w:val="00EC72ED"/>
    <w:rsid w:val="00EC73DB"/>
    <w:rsid w:val="00ED03A5"/>
    <w:rsid w:val="00ED07A3"/>
    <w:rsid w:val="00ED21AE"/>
    <w:rsid w:val="00ED2387"/>
    <w:rsid w:val="00ED2AF6"/>
    <w:rsid w:val="00ED3427"/>
    <w:rsid w:val="00ED384B"/>
    <w:rsid w:val="00ED42E4"/>
    <w:rsid w:val="00ED4903"/>
    <w:rsid w:val="00ED4A77"/>
    <w:rsid w:val="00ED4B26"/>
    <w:rsid w:val="00ED5685"/>
    <w:rsid w:val="00ED5943"/>
    <w:rsid w:val="00ED5FC8"/>
    <w:rsid w:val="00ED6212"/>
    <w:rsid w:val="00ED68EB"/>
    <w:rsid w:val="00ED7078"/>
    <w:rsid w:val="00ED73CF"/>
    <w:rsid w:val="00ED77BE"/>
    <w:rsid w:val="00ED7DFA"/>
    <w:rsid w:val="00EE01A5"/>
    <w:rsid w:val="00EE037D"/>
    <w:rsid w:val="00EE19C3"/>
    <w:rsid w:val="00EE1B09"/>
    <w:rsid w:val="00EE1B62"/>
    <w:rsid w:val="00EE1F7B"/>
    <w:rsid w:val="00EE2055"/>
    <w:rsid w:val="00EE249E"/>
    <w:rsid w:val="00EE24EA"/>
    <w:rsid w:val="00EE2676"/>
    <w:rsid w:val="00EE2BBB"/>
    <w:rsid w:val="00EE2D89"/>
    <w:rsid w:val="00EE33B8"/>
    <w:rsid w:val="00EE3599"/>
    <w:rsid w:val="00EE35EE"/>
    <w:rsid w:val="00EE3618"/>
    <w:rsid w:val="00EE3CF7"/>
    <w:rsid w:val="00EE3E12"/>
    <w:rsid w:val="00EE49C2"/>
    <w:rsid w:val="00EE4B5E"/>
    <w:rsid w:val="00EE4C80"/>
    <w:rsid w:val="00EE54F2"/>
    <w:rsid w:val="00EE57FC"/>
    <w:rsid w:val="00EE5A1A"/>
    <w:rsid w:val="00EE5C52"/>
    <w:rsid w:val="00EE6185"/>
    <w:rsid w:val="00EE655F"/>
    <w:rsid w:val="00EE6EC9"/>
    <w:rsid w:val="00EE6F45"/>
    <w:rsid w:val="00EE72D1"/>
    <w:rsid w:val="00EE7517"/>
    <w:rsid w:val="00EE7DBE"/>
    <w:rsid w:val="00EE7DFE"/>
    <w:rsid w:val="00EF001B"/>
    <w:rsid w:val="00EF084C"/>
    <w:rsid w:val="00EF0BED"/>
    <w:rsid w:val="00EF114D"/>
    <w:rsid w:val="00EF17E3"/>
    <w:rsid w:val="00EF1A97"/>
    <w:rsid w:val="00EF2933"/>
    <w:rsid w:val="00EF29DF"/>
    <w:rsid w:val="00EF318E"/>
    <w:rsid w:val="00EF3192"/>
    <w:rsid w:val="00EF3311"/>
    <w:rsid w:val="00EF378F"/>
    <w:rsid w:val="00EF383C"/>
    <w:rsid w:val="00EF38A1"/>
    <w:rsid w:val="00EF40A6"/>
    <w:rsid w:val="00EF412A"/>
    <w:rsid w:val="00EF46DD"/>
    <w:rsid w:val="00EF4941"/>
    <w:rsid w:val="00EF4F77"/>
    <w:rsid w:val="00EF533A"/>
    <w:rsid w:val="00EF55A8"/>
    <w:rsid w:val="00EF5D10"/>
    <w:rsid w:val="00EF609B"/>
    <w:rsid w:val="00EF642F"/>
    <w:rsid w:val="00EF6672"/>
    <w:rsid w:val="00EF7524"/>
    <w:rsid w:val="00EF75E0"/>
    <w:rsid w:val="00EF7C59"/>
    <w:rsid w:val="00EF7E02"/>
    <w:rsid w:val="00EF7E4C"/>
    <w:rsid w:val="00EF7E76"/>
    <w:rsid w:val="00F00031"/>
    <w:rsid w:val="00F0053C"/>
    <w:rsid w:val="00F00E1C"/>
    <w:rsid w:val="00F0125D"/>
    <w:rsid w:val="00F01716"/>
    <w:rsid w:val="00F01B4E"/>
    <w:rsid w:val="00F02094"/>
    <w:rsid w:val="00F0262D"/>
    <w:rsid w:val="00F02949"/>
    <w:rsid w:val="00F02BD2"/>
    <w:rsid w:val="00F02C1C"/>
    <w:rsid w:val="00F02E23"/>
    <w:rsid w:val="00F033B6"/>
    <w:rsid w:val="00F044DE"/>
    <w:rsid w:val="00F05204"/>
    <w:rsid w:val="00F05287"/>
    <w:rsid w:val="00F053E5"/>
    <w:rsid w:val="00F05A12"/>
    <w:rsid w:val="00F05BAE"/>
    <w:rsid w:val="00F05CD3"/>
    <w:rsid w:val="00F06541"/>
    <w:rsid w:val="00F06637"/>
    <w:rsid w:val="00F074F4"/>
    <w:rsid w:val="00F07A1A"/>
    <w:rsid w:val="00F07B0F"/>
    <w:rsid w:val="00F07F56"/>
    <w:rsid w:val="00F07F7C"/>
    <w:rsid w:val="00F10297"/>
    <w:rsid w:val="00F105F7"/>
    <w:rsid w:val="00F10C04"/>
    <w:rsid w:val="00F10E54"/>
    <w:rsid w:val="00F111F6"/>
    <w:rsid w:val="00F11AC1"/>
    <w:rsid w:val="00F11E12"/>
    <w:rsid w:val="00F1221A"/>
    <w:rsid w:val="00F124D7"/>
    <w:rsid w:val="00F128BE"/>
    <w:rsid w:val="00F12C44"/>
    <w:rsid w:val="00F12EC7"/>
    <w:rsid w:val="00F13C52"/>
    <w:rsid w:val="00F13D28"/>
    <w:rsid w:val="00F14035"/>
    <w:rsid w:val="00F14551"/>
    <w:rsid w:val="00F14701"/>
    <w:rsid w:val="00F14FE4"/>
    <w:rsid w:val="00F15497"/>
    <w:rsid w:val="00F16217"/>
    <w:rsid w:val="00F1759A"/>
    <w:rsid w:val="00F175CB"/>
    <w:rsid w:val="00F17BD3"/>
    <w:rsid w:val="00F17D07"/>
    <w:rsid w:val="00F17D43"/>
    <w:rsid w:val="00F2036E"/>
    <w:rsid w:val="00F204D5"/>
    <w:rsid w:val="00F2074B"/>
    <w:rsid w:val="00F2083A"/>
    <w:rsid w:val="00F20964"/>
    <w:rsid w:val="00F20A52"/>
    <w:rsid w:val="00F212B2"/>
    <w:rsid w:val="00F21434"/>
    <w:rsid w:val="00F21505"/>
    <w:rsid w:val="00F21783"/>
    <w:rsid w:val="00F21911"/>
    <w:rsid w:val="00F21929"/>
    <w:rsid w:val="00F21C00"/>
    <w:rsid w:val="00F22629"/>
    <w:rsid w:val="00F22660"/>
    <w:rsid w:val="00F2266F"/>
    <w:rsid w:val="00F22C93"/>
    <w:rsid w:val="00F22F67"/>
    <w:rsid w:val="00F2365D"/>
    <w:rsid w:val="00F23816"/>
    <w:rsid w:val="00F23D68"/>
    <w:rsid w:val="00F23E84"/>
    <w:rsid w:val="00F2400A"/>
    <w:rsid w:val="00F24651"/>
    <w:rsid w:val="00F24C9F"/>
    <w:rsid w:val="00F25059"/>
    <w:rsid w:val="00F25738"/>
    <w:rsid w:val="00F25797"/>
    <w:rsid w:val="00F25813"/>
    <w:rsid w:val="00F258FC"/>
    <w:rsid w:val="00F2642E"/>
    <w:rsid w:val="00F3017E"/>
    <w:rsid w:val="00F30AA0"/>
    <w:rsid w:val="00F30D89"/>
    <w:rsid w:val="00F313ED"/>
    <w:rsid w:val="00F31B63"/>
    <w:rsid w:val="00F326F2"/>
    <w:rsid w:val="00F32A6D"/>
    <w:rsid w:val="00F32B87"/>
    <w:rsid w:val="00F32BDE"/>
    <w:rsid w:val="00F33312"/>
    <w:rsid w:val="00F33A90"/>
    <w:rsid w:val="00F33E70"/>
    <w:rsid w:val="00F346A3"/>
    <w:rsid w:val="00F34AC5"/>
    <w:rsid w:val="00F34CF7"/>
    <w:rsid w:val="00F35572"/>
    <w:rsid w:val="00F35856"/>
    <w:rsid w:val="00F359D2"/>
    <w:rsid w:val="00F35D02"/>
    <w:rsid w:val="00F361FF"/>
    <w:rsid w:val="00F366DF"/>
    <w:rsid w:val="00F36DD2"/>
    <w:rsid w:val="00F370C6"/>
    <w:rsid w:val="00F37156"/>
    <w:rsid w:val="00F37706"/>
    <w:rsid w:val="00F37ABE"/>
    <w:rsid w:val="00F37D53"/>
    <w:rsid w:val="00F37D73"/>
    <w:rsid w:val="00F37E8D"/>
    <w:rsid w:val="00F40103"/>
    <w:rsid w:val="00F40C77"/>
    <w:rsid w:val="00F40D1A"/>
    <w:rsid w:val="00F40E10"/>
    <w:rsid w:val="00F4100A"/>
    <w:rsid w:val="00F41326"/>
    <w:rsid w:val="00F41501"/>
    <w:rsid w:val="00F418D4"/>
    <w:rsid w:val="00F42404"/>
    <w:rsid w:val="00F425BB"/>
    <w:rsid w:val="00F42CD2"/>
    <w:rsid w:val="00F43A9C"/>
    <w:rsid w:val="00F43AF2"/>
    <w:rsid w:val="00F445A8"/>
    <w:rsid w:val="00F44667"/>
    <w:rsid w:val="00F44709"/>
    <w:rsid w:val="00F44EEC"/>
    <w:rsid w:val="00F45078"/>
    <w:rsid w:val="00F452EC"/>
    <w:rsid w:val="00F4576A"/>
    <w:rsid w:val="00F4581A"/>
    <w:rsid w:val="00F45A4E"/>
    <w:rsid w:val="00F45E47"/>
    <w:rsid w:val="00F45E93"/>
    <w:rsid w:val="00F4635A"/>
    <w:rsid w:val="00F4697F"/>
    <w:rsid w:val="00F46B71"/>
    <w:rsid w:val="00F474F9"/>
    <w:rsid w:val="00F47638"/>
    <w:rsid w:val="00F47762"/>
    <w:rsid w:val="00F477E1"/>
    <w:rsid w:val="00F47975"/>
    <w:rsid w:val="00F479FE"/>
    <w:rsid w:val="00F47D23"/>
    <w:rsid w:val="00F50202"/>
    <w:rsid w:val="00F5078D"/>
    <w:rsid w:val="00F50961"/>
    <w:rsid w:val="00F510E8"/>
    <w:rsid w:val="00F513CC"/>
    <w:rsid w:val="00F517B6"/>
    <w:rsid w:val="00F52578"/>
    <w:rsid w:val="00F52A51"/>
    <w:rsid w:val="00F5346F"/>
    <w:rsid w:val="00F5356D"/>
    <w:rsid w:val="00F547F8"/>
    <w:rsid w:val="00F54C4C"/>
    <w:rsid w:val="00F54F7D"/>
    <w:rsid w:val="00F55648"/>
    <w:rsid w:val="00F5578A"/>
    <w:rsid w:val="00F55FBA"/>
    <w:rsid w:val="00F569CF"/>
    <w:rsid w:val="00F57AB5"/>
    <w:rsid w:val="00F57C2E"/>
    <w:rsid w:val="00F6001B"/>
    <w:rsid w:val="00F60332"/>
    <w:rsid w:val="00F608C7"/>
    <w:rsid w:val="00F60CD8"/>
    <w:rsid w:val="00F60E29"/>
    <w:rsid w:val="00F6138C"/>
    <w:rsid w:val="00F614A9"/>
    <w:rsid w:val="00F62A6F"/>
    <w:rsid w:val="00F631B9"/>
    <w:rsid w:val="00F631EC"/>
    <w:rsid w:val="00F63887"/>
    <w:rsid w:val="00F63D0C"/>
    <w:rsid w:val="00F63FDD"/>
    <w:rsid w:val="00F6438C"/>
    <w:rsid w:val="00F64698"/>
    <w:rsid w:val="00F647E7"/>
    <w:rsid w:val="00F649E1"/>
    <w:rsid w:val="00F64CCA"/>
    <w:rsid w:val="00F64DD9"/>
    <w:rsid w:val="00F64E33"/>
    <w:rsid w:val="00F651BD"/>
    <w:rsid w:val="00F655E6"/>
    <w:rsid w:val="00F657EC"/>
    <w:rsid w:val="00F659D6"/>
    <w:rsid w:val="00F66103"/>
    <w:rsid w:val="00F66ADD"/>
    <w:rsid w:val="00F67052"/>
    <w:rsid w:val="00F67217"/>
    <w:rsid w:val="00F67986"/>
    <w:rsid w:val="00F679CD"/>
    <w:rsid w:val="00F67EF5"/>
    <w:rsid w:val="00F70265"/>
    <w:rsid w:val="00F70541"/>
    <w:rsid w:val="00F7095B"/>
    <w:rsid w:val="00F711B5"/>
    <w:rsid w:val="00F71A8F"/>
    <w:rsid w:val="00F7209C"/>
    <w:rsid w:val="00F72434"/>
    <w:rsid w:val="00F724B3"/>
    <w:rsid w:val="00F726C2"/>
    <w:rsid w:val="00F72B68"/>
    <w:rsid w:val="00F732F5"/>
    <w:rsid w:val="00F73796"/>
    <w:rsid w:val="00F739BB"/>
    <w:rsid w:val="00F73AC4"/>
    <w:rsid w:val="00F7415B"/>
    <w:rsid w:val="00F74C7F"/>
    <w:rsid w:val="00F74CA8"/>
    <w:rsid w:val="00F74E61"/>
    <w:rsid w:val="00F7602E"/>
    <w:rsid w:val="00F769E7"/>
    <w:rsid w:val="00F76E38"/>
    <w:rsid w:val="00F7761E"/>
    <w:rsid w:val="00F77DB4"/>
    <w:rsid w:val="00F801C8"/>
    <w:rsid w:val="00F80538"/>
    <w:rsid w:val="00F80743"/>
    <w:rsid w:val="00F80CB0"/>
    <w:rsid w:val="00F81244"/>
    <w:rsid w:val="00F81994"/>
    <w:rsid w:val="00F81E80"/>
    <w:rsid w:val="00F8209C"/>
    <w:rsid w:val="00F82660"/>
    <w:rsid w:val="00F82783"/>
    <w:rsid w:val="00F828FF"/>
    <w:rsid w:val="00F8389D"/>
    <w:rsid w:val="00F8396B"/>
    <w:rsid w:val="00F83B43"/>
    <w:rsid w:val="00F84041"/>
    <w:rsid w:val="00F84655"/>
    <w:rsid w:val="00F846C5"/>
    <w:rsid w:val="00F84C6D"/>
    <w:rsid w:val="00F84CB2"/>
    <w:rsid w:val="00F84F8A"/>
    <w:rsid w:val="00F85034"/>
    <w:rsid w:val="00F86264"/>
    <w:rsid w:val="00F863C0"/>
    <w:rsid w:val="00F8649A"/>
    <w:rsid w:val="00F86AB6"/>
    <w:rsid w:val="00F870DE"/>
    <w:rsid w:val="00F8755A"/>
    <w:rsid w:val="00F87775"/>
    <w:rsid w:val="00F87958"/>
    <w:rsid w:val="00F87A01"/>
    <w:rsid w:val="00F87BE9"/>
    <w:rsid w:val="00F87F21"/>
    <w:rsid w:val="00F902F1"/>
    <w:rsid w:val="00F905E7"/>
    <w:rsid w:val="00F90988"/>
    <w:rsid w:val="00F90DA7"/>
    <w:rsid w:val="00F90DCA"/>
    <w:rsid w:val="00F90E2B"/>
    <w:rsid w:val="00F9175D"/>
    <w:rsid w:val="00F91876"/>
    <w:rsid w:val="00F919CF"/>
    <w:rsid w:val="00F9256A"/>
    <w:rsid w:val="00F92F77"/>
    <w:rsid w:val="00F92FE6"/>
    <w:rsid w:val="00F9345D"/>
    <w:rsid w:val="00F934EB"/>
    <w:rsid w:val="00F93ADA"/>
    <w:rsid w:val="00F93D79"/>
    <w:rsid w:val="00F940EF"/>
    <w:rsid w:val="00F944DE"/>
    <w:rsid w:val="00F946B1"/>
    <w:rsid w:val="00F94A1F"/>
    <w:rsid w:val="00F94C1E"/>
    <w:rsid w:val="00F94F2F"/>
    <w:rsid w:val="00F9500D"/>
    <w:rsid w:val="00F95271"/>
    <w:rsid w:val="00F95379"/>
    <w:rsid w:val="00F956CC"/>
    <w:rsid w:val="00F95C40"/>
    <w:rsid w:val="00F95F6F"/>
    <w:rsid w:val="00F961FC"/>
    <w:rsid w:val="00F96360"/>
    <w:rsid w:val="00F96F1C"/>
    <w:rsid w:val="00F97771"/>
    <w:rsid w:val="00F97C89"/>
    <w:rsid w:val="00FA04F7"/>
    <w:rsid w:val="00FA0839"/>
    <w:rsid w:val="00FA0854"/>
    <w:rsid w:val="00FA0E5A"/>
    <w:rsid w:val="00FA12D6"/>
    <w:rsid w:val="00FA1346"/>
    <w:rsid w:val="00FA1841"/>
    <w:rsid w:val="00FA2579"/>
    <w:rsid w:val="00FA2927"/>
    <w:rsid w:val="00FA2A31"/>
    <w:rsid w:val="00FA3129"/>
    <w:rsid w:val="00FA3D79"/>
    <w:rsid w:val="00FA3DB1"/>
    <w:rsid w:val="00FA4179"/>
    <w:rsid w:val="00FA453E"/>
    <w:rsid w:val="00FA4A25"/>
    <w:rsid w:val="00FA4B5B"/>
    <w:rsid w:val="00FA4BB2"/>
    <w:rsid w:val="00FA5781"/>
    <w:rsid w:val="00FA5F56"/>
    <w:rsid w:val="00FA61DB"/>
    <w:rsid w:val="00FA6466"/>
    <w:rsid w:val="00FA6508"/>
    <w:rsid w:val="00FA69FB"/>
    <w:rsid w:val="00FA6E2E"/>
    <w:rsid w:val="00FA719C"/>
    <w:rsid w:val="00FA744A"/>
    <w:rsid w:val="00FA7BC5"/>
    <w:rsid w:val="00FB034C"/>
    <w:rsid w:val="00FB05E3"/>
    <w:rsid w:val="00FB06B0"/>
    <w:rsid w:val="00FB0A1E"/>
    <w:rsid w:val="00FB0B76"/>
    <w:rsid w:val="00FB0EA2"/>
    <w:rsid w:val="00FB16A2"/>
    <w:rsid w:val="00FB1783"/>
    <w:rsid w:val="00FB259E"/>
    <w:rsid w:val="00FB26CC"/>
    <w:rsid w:val="00FB2B61"/>
    <w:rsid w:val="00FB2D9C"/>
    <w:rsid w:val="00FB308B"/>
    <w:rsid w:val="00FB3165"/>
    <w:rsid w:val="00FB34B0"/>
    <w:rsid w:val="00FB38F5"/>
    <w:rsid w:val="00FB3E8F"/>
    <w:rsid w:val="00FB4463"/>
    <w:rsid w:val="00FB5602"/>
    <w:rsid w:val="00FB56BA"/>
    <w:rsid w:val="00FB596E"/>
    <w:rsid w:val="00FB5BBA"/>
    <w:rsid w:val="00FB5D02"/>
    <w:rsid w:val="00FB6365"/>
    <w:rsid w:val="00FB63A4"/>
    <w:rsid w:val="00FB63C3"/>
    <w:rsid w:val="00FB6422"/>
    <w:rsid w:val="00FB6669"/>
    <w:rsid w:val="00FB6952"/>
    <w:rsid w:val="00FB6BBC"/>
    <w:rsid w:val="00FB6C4B"/>
    <w:rsid w:val="00FB7358"/>
    <w:rsid w:val="00FB743C"/>
    <w:rsid w:val="00FB74B7"/>
    <w:rsid w:val="00FB76CF"/>
    <w:rsid w:val="00FB7D27"/>
    <w:rsid w:val="00FC0679"/>
    <w:rsid w:val="00FC072F"/>
    <w:rsid w:val="00FC091B"/>
    <w:rsid w:val="00FC0F1A"/>
    <w:rsid w:val="00FC1C34"/>
    <w:rsid w:val="00FC2753"/>
    <w:rsid w:val="00FC29E8"/>
    <w:rsid w:val="00FC2C35"/>
    <w:rsid w:val="00FC2D4C"/>
    <w:rsid w:val="00FC2E10"/>
    <w:rsid w:val="00FC2E44"/>
    <w:rsid w:val="00FC2F64"/>
    <w:rsid w:val="00FC32A4"/>
    <w:rsid w:val="00FC379A"/>
    <w:rsid w:val="00FC4F8B"/>
    <w:rsid w:val="00FC4FAD"/>
    <w:rsid w:val="00FC5664"/>
    <w:rsid w:val="00FC7137"/>
    <w:rsid w:val="00FC7651"/>
    <w:rsid w:val="00FC7699"/>
    <w:rsid w:val="00FC7FDD"/>
    <w:rsid w:val="00FD074B"/>
    <w:rsid w:val="00FD0B39"/>
    <w:rsid w:val="00FD0EF9"/>
    <w:rsid w:val="00FD136F"/>
    <w:rsid w:val="00FD1515"/>
    <w:rsid w:val="00FD181A"/>
    <w:rsid w:val="00FD1ABE"/>
    <w:rsid w:val="00FD1F85"/>
    <w:rsid w:val="00FD27A8"/>
    <w:rsid w:val="00FD2A33"/>
    <w:rsid w:val="00FD3709"/>
    <w:rsid w:val="00FD3868"/>
    <w:rsid w:val="00FD3A51"/>
    <w:rsid w:val="00FD3B72"/>
    <w:rsid w:val="00FD478F"/>
    <w:rsid w:val="00FD4D37"/>
    <w:rsid w:val="00FD4D4E"/>
    <w:rsid w:val="00FD504F"/>
    <w:rsid w:val="00FD5702"/>
    <w:rsid w:val="00FD64BD"/>
    <w:rsid w:val="00FD6FD4"/>
    <w:rsid w:val="00FD714C"/>
    <w:rsid w:val="00FD7274"/>
    <w:rsid w:val="00FD78C5"/>
    <w:rsid w:val="00FD7CD1"/>
    <w:rsid w:val="00FE041D"/>
    <w:rsid w:val="00FE05B4"/>
    <w:rsid w:val="00FE0707"/>
    <w:rsid w:val="00FE0ECF"/>
    <w:rsid w:val="00FE1228"/>
    <w:rsid w:val="00FE15E3"/>
    <w:rsid w:val="00FE1C54"/>
    <w:rsid w:val="00FE2393"/>
    <w:rsid w:val="00FE250C"/>
    <w:rsid w:val="00FE27AA"/>
    <w:rsid w:val="00FE2AFD"/>
    <w:rsid w:val="00FE2CCB"/>
    <w:rsid w:val="00FE2D39"/>
    <w:rsid w:val="00FE2DA4"/>
    <w:rsid w:val="00FE35D7"/>
    <w:rsid w:val="00FE369C"/>
    <w:rsid w:val="00FE3DC9"/>
    <w:rsid w:val="00FE3E00"/>
    <w:rsid w:val="00FE3F2F"/>
    <w:rsid w:val="00FE4D07"/>
    <w:rsid w:val="00FE52AB"/>
    <w:rsid w:val="00FE57A2"/>
    <w:rsid w:val="00FE5932"/>
    <w:rsid w:val="00FE5F30"/>
    <w:rsid w:val="00FE60F8"/>
    <w:rsid w:val="00FE6264"/>
    <w:rsid w:val="00FE68AC"/>
    <w:rsid w:val="00FE731D"/>
    <w:rsid w:val="00FE7420"/>
    <w:rsid w:val="00FE74BC"/>
    <w:rsid w:val="00FE755D"/>
    <w:rsid w:val="00FE7DDB"/>
    <w:rsid w:val="00FE7F9C"/>
    <w:rsid w:val="00FF0151"/>
    <w:rsid w:val="00FF04A3"/>
    <w:rsid w:val="00FF0F9D"/>
    <w:rsid w:val="00FF1574"/>
    <w:rsid w:val="00FF2305"/>
    <w:rsid w:val="00FF2868"/>
    <w:rsid w:val="00FF32A4"/>
    <w:rsid w:val="00FF3A46"/>
    <w:rsid w:val="00FF3BFD"/>
    <w:rsid w:val="00FF3C72"/>
    <w:rsid w:val="00FF3E68"/>
    <w:rsid w:val="00FF3F83"/>
    <w:rsid w:val="00FF4393"/>
    <w:rsid w:val="00FF4753"/>
    <w:rsid w:val="00FF53B0"/>
    <w:rsid w:val="00FF552C"/>
    <w:rsid w:val="00FF5598"/>
    <w:rsid w:val="00FF5759"/>
    <w:rsid w:val="00FF5ED6"/>
    <w:rsid w:val="00FF69FA"/>
    <w:rsid w:val="00FF6BE8"/>
    <w:rsid w:val="00FF7432"/>
    <w:rsid w:val="00FF7943"/>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D5968B"/>
  <w15:docId w15:val="{01093D37-50D4-4B58-96B4-9028173C6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5321"/>
    <w:rPr>
      <w:sz w:val="24"/>
      <w:szCs w:val="24"/>
      <w:lang w:val="de-DE" w:eastAsia="de-DE"/>
    </w:rPr>
  </w:style>
  <w:style w:type="paragraph" w:styleId="Heading1">
    <w:name w:val="heading 1"/>
    <w:basedOn w:val="Normal"/>
    <w:next w:val="Normal"/>
    <w:qFormat/>
    <w:rsid w:val="000A50E6"/>
    <w:pPr>
      <w:keepNext/>
      <w:jc w:val="right"/>
      <w:outlineLvl w:val="0"/>
    </w:pPr>
    <w:rPr>
      <w:rFonts w:ascii="Garamond" w:hAnsi="Garamond"/>
      <w:i/>
      <w:iCs/>
    </w:rPr>
  </w:style>
  <w:style w:type="paragraph" w:styleId="Heading2">
    <w:name w:val="heading 2"/>
    <w:basedOn w:val="Normal"/>
    <w:next w:val="Normal"/>
    <w:qFormat/>
    <w:rsid w:val="000A50E6"/>
    <w:pPr>
      <w:keepNext/>
      <w:jc w:val="center"/>
      <w:outlineLvl w:val="1"/>
    </w:pPr>
    <w:rPr>
      <w:b/>
      <w:bCs/>
    </w:rPr>
  </w:style>
  <w:style w:type="paragraph" w:styleId="Heading3">
    <w:name w:val="heading 3"/>
    <w:basedOn w:val="Normal"/>
    <w:next w:val="Normal"/>
    <w:qFormat/>
    <w:rsid w:val="000A50E6"/>
    <w:pPr>
      <w:keepNext/>
      <w:jc w:val="right"/>
      <w:outlineLvl w:val="2"/>
    </w:pPr>
    <w:rPr>
      <w:rFonts w:ascii="Garamond" w:hAnsi="Garamond"/>
      <w:b/>
      <w:bCs/>
    </w:rPr>
  </w:style>
  <w:style w:type="paragraph" w:styleId="Heading4">
    <w:name w:val="heading 4"/>
    <w:basedOn w:val="Normal"/>
    <w:next w:val="Normal"/>
    <w:qFormat/>
    <w:rsid w:val="000A50E6"/>
    <w:pPr>
      <w:keepNext/>
      <w:tabs>
        <w:tab w:val="decimal" w:pos="1418"/>
      </w:tabs>
      <w:outlineLvl w:val="3"/>
    </w:pPr>
    <w:rPr>
      <w:b/>
      <w:bCs/>
      <w:color w:val="000000"/>
      <w:sz w:val="22"/>
      <w:szCs w:val="22"/>
    </w:rPr>
  </w:style>
  <w:style w:type="paragraph" w:styleId="Heading5">
    <w:name w:val="heading 5"/>
    <w:basedOn w:val="Normal"/>
    <w:next w:val="Normal"/>
    <w:qFormat/>
    <w:rsid w:val="000A50E6"/>
    <w:pPr>
      <w:keepNext/>
      <w:jc w:val="center"/>
      <w:outlineLvl w:val="4"/>
    </w:pPr>
    <w:rPr>
      <w:b/>
      <w:bCs/>
      <w:sz w:val="16"/>
      <w:szCs w:val="16"/>
    </w:rPr>
  </w:style>
  <w:style w:type="paragraph" w:styleId="Heading6">
    <w:name w:val="heading 6"/>
    <w:basedOn w:val="Normal"/>
    <w:next w:val="Normal"/>
    <w:qFormat/>
    <w:rsid w:val="000A50E6"/>
    <w:pPr>
      <w:keepNext/>
      <w:jc w:val="both"/>
      <w:outlineLvl w:val="5"/>
    </w:pPr>
    <w:rPr>
      <w:b/>
      <w:bCs/>
    </w:rPr>
  </w:style>
  <w:style w:type="paragraph" w:styleId="Heading7">
    <w:name w:val="heading 7"/>
    <w:basedOn w:val="Normal"/>
    <w:next w:val="Normal"/>
    <w:qFormat/>
    <w:rsid w:val="000A50E6"/>
    <w:pPr>
      <w:keepNext/>
      <w:outlineLvl w:val="6"/>
    </w:pPr>
    <w:rPr>
      <w:b/>
      <w:bCs/>
      <w:i/>
      <w:iCs/>
    </w:rPr>
  </w:style>
  <w:style w:type="paragraph" w:styleId="Heading8">
    <w:name w:val="heading 8"/>
    <w:basedOn w:val="Normal"/>
    <w:next w:val="Normal"/>
    <w:qFormat/>
    <w:rsid w:val="000A50E6"/>
    <w:pPr>
      <w:keepNext/>
      <w:outlineLvl w:val="7"/>
    </w:pPr>
    <w:rPr>
      <w:b/>
      <w:bCs/>
    </w:rPr>
  </w:style>
  <w:style w:type="paragraph" w:styleId="Heading9">
    <w:name w:val="heading 9"/>
    <w:basedOn w:val="Normal"/>
    <w:next w:val="Normal"/>
    <w:qFormat/>
    <w:rsid w:val="000A50E6"/>
    <w:pPr>
      <w:keepNext/>
      <w:ind w:firstLine="360"/>
      <w:jc w:val="both"/>
      <w:outlineLvl w:val="8"/>
    </w:pPr>
    <w:rPr>
      <w:b/>
      <w:bCs/>
      <w:i/>
      <w:i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rsid w:val="000A50E6"/>
    <w:pPr>
      <w:jc w:val="both"/>
    </w:pPr>
  </w:style>
  <w:style w:type="paragraph" w:styleId="Footer">
    <w:name w:val="footer"/>
    <w:basedOn w:val="Normal"/>
    <w:link w:val="FooterChar"/>
    <w:uiPriority w:val="99"/>
    <w:rsid w:val="000A50E6"/>
    <w:pPr>
      <w:tabs>
        <w:tab w:val="center" w:pos="4320"/>
        <w:tab w:val="right" w:pos="8640"/>
      </w:tabs>
    </w:pPr>
    <w:rPr>
      <w:sz w:val="22"/>
      <w:szCs w:val="22"/>
    </w:rPr>
  </w:style>
  <w:style w:type="character" w:styleId="Hyperlink">
    <w:name w:val="Hyperlink"/>
    <w:aliases w:val="Δεσμός"/>
    <w:basedOn w:val="DefaultParagraphFont"/>
    <w:uiPriority w:val="99"/>
    <w:rsid w:val="000A50E6"/>
    <w:rPr>
      <w:color w:val="0000FF"/>
      <w:u w:val="single"/>
    </w:rPr>
  </w:style>
  <w:style w:type="paragraph" w:styleId="Header">
    <w:name w:val="header"/>
    <w:basedOn w:val="Normal"/>
    <w:link w:val="HeaderChar"/>
    <w:uiPriority w:val="99"/>
    <w:rsid w:val="000A50E6"/>
    <w:pPr>
      <w:tabs>
        <w:tab w:val="center" w:pos="4153"/>
        <w:tab w:val="right" w:pos="8306"/>
      </w:tabs>
    </w:pPr>
  </w:style>
  <w:style w:type="paragraph" w:styleId="BodyTextIndent">
    <w:name w:val="Body Text Indent"/>
    <w:basedOn w:val="Normal"/>
    <w:rsid w:val="000A50E6"/>
    <w:pPr>
      <w:jc w:val="both"/>
    </w:pPr>
    <w:rPr>
      <w:rFonts w:ascii="Arial" w:hAnsi="Arial" w:cs="Arial"/>
      <w:sz w:val="22"/>
      <w:szCs w:val="22"/>
      <w:u w:val="single"/>
    </w:rPr>
  </w:style>
  <w:style w:type="paragraph" w:styleId="BodyText">
    <w:name w:val="Body Text"/>
    <w:aliases w:val="b"/>
    <w:basedOn w:val="Normal"/>
    <w:rsid w:val="000A50E6"/>
    <w:rPr>
      <w:i/>
      <w:iCs/>
      <w:sz w:val="22"/>
      <w:szCs w:val="22"/>
    </w:rPr>
  </w:style>
  <w:style w:type="paragraph" w:styleId="BodyTextIndent2">
    <w:name w:val="Body Text Indent 2"/>
    <w:basedOn w:val="Normal"/>
    <w:rsid w:val="000A50E6"/>
    <w:pPr>
      <w:ind w:left="360"/>
      <w:jc w:val="both"/>
    </w:pPr>
  </w:style>
  <w:style w:type="paragraph" w:customStyle="1" w:styleId="font5">
    <w:name w:val="font5"/>
    <w:basedOn w:val="Normal"/>
    <w:rsid w:val="000A50E6"/>
    <w:pPr>
      <w:spacing w:before="100" w:beforeAutospacing="1" w:after="100" w:afterAutospacing="1"/>
    </w:pPr>
    <w:rPr>
      <w:b/>
      <w:bCs/>
      <w:sz w:val="22"/>
      <w:szCs w:val="22"/>
    </w:rPr>
  </w:style>
  <w:style w:type="paragraph" w:customStyle="1" w:styleId="font6">
    <w:name w:val="font6"/>
    <w:basedOn w:val="Normal"/>
    <w:rsid w:val="000A50E6"/>
    <w:pPr>
      <w:spacing w:before="100" w:beforeAutospacing="1" w:after="100" w:afterAutospacing="1"/>
    </w:pPr>
    <w:rPr>
      <w:b/>
      <w:bCs/>
      <w:sz w:val="22"/>
      <w:szCs w:val="22"/>
    </w:rPr>
  </w:style>
  <w:style w:type="paragraph" w:customStyle="1" w:styleId="xl24">
    <w:name w:val="xl24"/>
    <w:basedOn w:val="Normal"/>
    <w:rsid w:val="000A50E6"/>
    <w:pPr>
      <w:spacing w:before="100" w:beforeAutospacing="1" w:after="100" w:afterAutospacing="1"/>
    </w:pPr>
    <w:rPr>
      <w:sz w:val="22"/>
      <w:szCs w:val="22"/>
    </w:rPr>
  </w:style>
  <w:style w:type="paragraph" w:customStyle="1" w:styleId="xl25">
    <w:name w:val="xl25"/>
    <w:basedOn w:val="Normal"/>
    <w:rsid w:val="000A50E6"/>
    <w:pPr>
      <w:pBdr>
        <w:bottom w:val="single" w:sz="4" w:space="0" w:color="auto"/>
      </w:pBdr>
      <w:spacing w:before="100" w:beforeAutospacing="1" w:after="100" w:afterAutospacing="1"/>
    </w:pPr>
    <w:rPr>
      <w:sz w:val="22"/>
      <w:szCs w:val="22"/>
    </w:rPr>
  </w:style>
  <w:style w:type="paragraph" w:customStyle="1" w:styleId="xl26">
    <w:name w:val="xl26"/>
    <w:basedOn w:val="Normal"/>
    <w:rsid w:val="000A50E6"/>
    <w:pPr>
      <w:pBdr>
        <w:bottom w:val="single" w:sz="4" w:space="0" w:color="auto"/>
      </w:pBdr>
      <w:spacing w:before="100" w:beforeAutospacing="1" w:after="100" w:afterAutospacing="1"/>
    </w:pPr>
    <w:rPr>
      <w:sz w:val="22"/>
      <w:szCs w:val="22"/>
    </w:rPr>
  </w:style>
  <w:style w:type="paragraph" w:customStyle="1" w:styleId="xl27">
    <w:name w:val="xl27"/>
    <w:basedOn w:val="Normal"/>
    <w:rsid w:val="000A50E6"/>
    <w:pPr>
      <w:pBdr>
        <w:bottom w:val="single" w:sz="4" w:space="0" w:color="auto"/>
      </w:pBdr>
      <w:spacing w:before="100" w:beforeAutospacing="1" w:after="100" w:afterAutospacing="1"/>
      <w:jc w:val="center"/>
    </w:pPr>
    <w:rPr>
      <w:sz w:val="22"/>
      <w:szCs w:val="22"/>
    </w:rPr>
  </w:style>
  <w:style w:type="paragraph" w:customStyle="1" w:styleId="xl28">
    <w:name w:val="xl28"/>
    <w:basedOn w:val="Normal"/>
    <w:rsid w:val="000A50E6"/>
    <w:pPr>
      <w:spacing w:before="100" w:beforeAutospacing="1" w:after="100" w:afterAutospacing="1"/>
      <w:textAlignment w:val="top"/>
    </w:pPr>
    <w:rPr>
      <w:sz w:val="22"/>
      <w:szCs w:val="22"/>
    </w:rPr>
  </w:style>
  <w:style w:type="paragraph" w:customStyle="1" w:styleId="xl29">
    <w:name w:val="xl29"/>
    <w:basedOn w:val="Normal"/>
    <w:rsid w:val="000A50E6"/>
    <w:pPr>
      <w:spacing w:before="100" w:beforeAutospacing="1" w:after="100" w:afterAutospacing="1"/>
      <w:textAlignment w:val="top"/>
    </w:pPr>
    <w:rPr>
      <w:sz w:val="22"/>
      <w:szCs w:val="22"/>
    </w:rPr>
  </w:style>
  <w:style w:type="paragraph" w:customStyle="1" w:styleId="xl30">
    <w:name w:val="xl30"/>
    <w:basedOn w:val="Normal"/>
    <w:rsid w:val="000A50E6"/>
    <w:pPr>
      <w:spacing w:before="100" w:beforeAutospacing="1" w:after="100" w:afterAutospacing="1"/>
      <w:textAlignment w:val="top"/>
    </w:pPr>
    <w:rPr>
      <w:sz w:val="22"/>
      <w:szCs w:val="22"/>
    </w:rPr>
  </w:style>
  <w:style w:type="paragraph" w:customStyle="1" w:styleId="xl31">
    <w:name w:val="xl31"/>
    <w:basedOn w:val="Normal"/>
    <w:rsid w:val="000A50E6"/>
    <w:pPr>
      <w:spacing w:before="100" w:beforeAutospacing="1" w:after="100" w:afterAutospacing="1"/>
      <w:textAlignment w:val="top"/>
    </w:pPr>
    <w:rPr>
      <w:sz w:val="22"/>
      <w:szCs w:val="22"/>
    </w:rPr>
  </w:style>
  <w:style w:type="paragraph" w:customStyle="1" w:styleId="xl32">
    <w:name w:val="xl32"/>
    <w:basedOn w:val="Normal"/>
    <w:rsid w:val="000A50E6"/>
    <w:pPr>
      <w:spacing w:before="100" w:beforeAutospacing="1" w:after="100" w:afterAutospacing="1"/>
      <w:textAlignment w:val="top"/>
    </w:pPr>
    <w:rPr>
      <w:sz w:val="22"/>
      <w:szCs w:val="22"/>
    </w:rPr>
  </w:style>
  <w:style w:type="paragraph" w:customStyle="1" w:styleId="xl33">
    <w:name w:val="xl33"/>
    <w:basedOn w:val="Normal"/>
    <w:rsid w:val="000A50E6"/>
    <w:pPr>
      <w:spacing w:before="100" w:beforeAutospacing="1" w:after="100" w:afterAutospacing="1"/>
      <w:textAlignment w:val="top"/>
    </w:pPr>
    <w:rPr>
      <w:sz w:val="22"/>
      <w:szCs w:val="22"/>
    </w:rPr>
  </w:style>
  <w:style w:type="paragraph" w:customStyle="1" w:styleId="xl34">
    <w:name w:val="xl34"/>
    <w:basedOn w:val="Normal"/>
    <w:rsid w:val="000A50E6"/>
    <w:pPr>
      <w:spacing w:before="100" w:beforeAutospacing="1" w:after="100" w:afterAutospacing="1"/>
    </w:pPr>
    <w:rPr>
      <w:sz w:val="22"/>
      <w:szCs w:val="22"/>
    </w:rPr>
  </w:style>
  <w:style w:type="paragraph" w:customStyle="1" w:styleId="xl35">
    <w:name w:val="xl35"/>
    <w:basedOn w:val="Normal"/>
    <w:rsid w:val="000A50E6"/>
    <w:pPr>
      <w:spacing w:before="100" w:beforeAutospacing="1" w:after="100" w:afterAutospacing="1"/>
      <w:textAlignment w:val="top"/>
    </w:pPr>
    <w:rPr>
      <w:b/>
      <w:bCs/>
      <w:sz w:val="22"/>
      <w:szCs w:val="22"/>
    </w:rPr>
  </w:style>
  <w:style w:type="paragraph" w:customStyle="1" w:styleId="xl36">
    <w:name w:val="xl36"/>
    <w:basedOn w:val="Normal"/>
    <w:rsid w:val="000A50E6"/>
    <w:pPr>
      <w:spacing w:before="100" w:beforeAutospacing="1" w:after="100" w:afterAutospacing="1"/>
      <w:jc w:val="center"/>
      <w:textAlignment w:val="top"/>
    </w:pPr>
    <w:rPr>
      <w:sz w:val="22"/>
      <w:szCs w:val="22"/>
    </w:rPr>
  </w:style>
  <w:style w:type="paragraph" w:customStyle="1" w:styleId="xl37">
    <w:name w:val="xl37"/>
    <w:basedOn w:val="Normal"/>
    <w:rsid w:val="000A50E6"/>
    <w:pPr>
      <w:spacing w:before="100" w:beforeAutospacing="1" w:after="100" w:afterAutospacing="1"/>
      <w:jc w:val="center"/>
      <w:textAlignment w:val="top"/>
    </w:pPr>
    <w:rPr>
      <w:sz w:val="22"/>
      <w:szCs w:val="22"/>
    </w:rPr>
  </w:style>
  <w:style w:type="paragraph" w:customStyle="1" w:styleId="xl38">
    <w:name w:val="xl38"/>
    <w:basedOn w:val="Normal"/>
    <w:rsid w:val="000A50E6"/>
    <w:pPr>
      <w:spacing w:before="100" w:beforeAutospacing="1" w:after="100" w:afterAutospacing="1"/>
      <w:jc w:val="center"/>
      <w:textAlignment w:val="top"/>
    </w:pPr>
    <w:rPr>
      <w:sz w:val="22"/>
      <w:szCs w:val="22"/>
    </w:rPr>
  </w:style>
  <w:style w:type="paragraph" w:customStyle="1" w:styleId="xl39">
    <w:name w:val="xl39"/>
    <w:basedOn w:val="Normal"/>
    <w:rsid w:val="000A50E6"/>
    <w:pPr>
      <w:pBdr>
        <w:right w:val="single" w:sz="4" w:space="0" w:color="auto"/>
      </w:pBdr>
      <w:spacing w:before="100" w:beforeAutospacing="1" w:after="100" w:afterAutospacing="1"/>
      <w:jc w:val="center"/>
      <w:textAlignment w:val="top"/>
    </w:pPr>
    <w:rPr>
      <w:sz w:val="22"/>
      <w:szCs w:val="22"/>
    </w:rPr>
  </w:style>
  <w:style w:type="paragraph" w:customStyle="1" w:styleId="xl40">
    <w:name w:val="xl40"/>
    <w:basedOn w:val="Normal"/>
    <w:rsid w:val="000A50E6"/>
    <w:pPr>
      <w:spacing w:before="100" w:beforeAutospacing="1" w:after="100" w:afterAutospacing="1"/>
      <w:jc w:val="center"/>
      <w:textAlignment w:val="top"/>
    </w:pPr>
    <w:rPr>
      <w:color w:val="000000"/>
      <w:sz w:val="22"/>
      <w:szCs w:val="22"/>
    </w:rPr>
  </w:style>
  <w:style w:type="paragraph" w:customStyle="1" w:styleId="xl41">
    <w:name w:val="xl41"/>
    <w:basedOn w:val="Normal"/>
    <w:rsid w:val="000A50E6"/>
    <w:pPr>
      <w:spacing w:before="100" w:beforeAutospacing="1" w:after="100" w:afterAutospacing="1"/>
      <w:textAlignment w:val="top"/>
    </w:pPr>
    <w:rPr>
      <w:sz w:val="22"/>
      <w:szCs w:val="22"/>
    </w:rPr>
  </w:style>
  <w:style w:type="paragraph" w:customStyle="1" w:styleId="xl42">
    <w:name w:val="xl42"/>
    <w:basedOn w:val="Normal"/>
    <w:rsid w:val="000A50E6"/>
    <w:pPr>
      <w:spacing w:before="100" w:beforeAutospacing="1" w:after="100" w:afterAutospacing="1"/>
    </w:pPr>
    <w:rPr>
      <w:sz w:val="22"/>
      <w:szCs w:val="22"/>
    </w:rPr>
  </w:style>
  <w:style w:type="paragraph" w:customStyle="1" w:styleId="xl43">
    <w:name w:val="xl43"/>
    <w:basedOn w:val="Normal"/>
    <w:rsid w:val="000A50E6"/>
    <w:pPr>
      <w:pBdr>
        <w:top w:val="single" w:sz="4" w:space="0" w:color="auto"/>
        <w:bottom w:val="single" w:sz="4" w:space="0" w:color="auto"/>
      </w:pBdr>
      <w:spacing w:before="100" w:beforeAutospacing="1" w:after="100" w:afterAutospacing="1"/>
    </w:pPr>
    <w:rPr>
      <w:sz w:val="22"/>
      <w:szCs w:val="22"/>
    </w:rPr>
  </w:style>
  <w:style w:type="paragraph" w:customStyle="1" w:styleId="xl44">
    <w:name w:val="xl44"/>
    <w:basedOn w:val="Normal"/>
    <w:rsid w:val="000A50E6"/>
    <w:pPr>
      <w:pBdr>
        <w:top w:val="single" w:sz="4" w:space="0" w:color="auto"/>
        <w:bottom w:val="single" w:sz="4" w:space="0" w:color="auto"/>
      </w:pBdr>
      <w:spacing w:before="100" w:beforeAutospacing="1" w:after="100" w:afterAutospacing="1"/>
    </w:pPr>
    <w:rPr>
      <w:sz w:val="22"/>
      <w:szCs w:val="22"/>
    </w:rPr>
  </w:style>
  <w:style w:type="paragraph" w:customStyle="1" w:styleId="xl45">
    <w:name w:val="xl45"/>
    <w:basedOn w:val="Normal"/>
    <w:rsid w:val="000A50E6"/>
    <w:pPr>
      <w:pBdr>
        <w:right w:val="single" w:sz="4" w:space="0" w:color="auto"/>
      </w:pBdr>
      <w:spacing w:before="100" w:beforeAutospacing="1" w:after="100" w:afterAutospacing="1"/>
    </w:pPr>
    <w:rPr>
      <w:sz w:val="22"/>
      <w:szCs w:val="22"/>
    </w:rPr>
  </w:style>
  <w:style w:type="paragraph" w:customStyle="1" w:styleId="xl46">
    <w:name w:val="xl46"/>
    <w:basedOn w:val="Normal"/>
    <w:rsid w:val="000A50E6"/>
    <w:pPr>
      <w:spacing w:before="100" w:beforeAutospacing="1" w:after="100" w:afterAutospacing="1"/>
      <w:jc w:val="center"/>
    </w:pPr>
    <w:rPr>
      <w:sz w:val="22"/>
      <w:szCs w:val="22"/>
    </w:rPr>
  </w:style>
  <w:style w:type="paragraph" w:customStyle="1" w:styleId="xl47">
    <w:name w:val="xl47"/>
    <w:basedOn w:val="Normal"/>
    <w:rsid w:val="000A50E6"/>
    <w:pPr>
      <w:pBdr>
        <w:left w:val="single" w:sz="4" w:space="0" w:color="auto"/>
      </w:pBdr>
      <w:spacing w:before="100" w:beforeAutospacing="1" w:after="100" w:afterAutospacing="1"/>
      <w:textAlignment w:val="top"/>
    </w:pPr>
    <w:rPr>
      <w:b/>
      <w:bCs/>
      <w:sz w:val="22"/>
      <w:szCs w:val="22"/>
    </w:rPr>
  </w:style>
  <w:style w:type="paragraph" w:customStyle="1" w:styleId="xl48">
    <w:name w:val="xl48"/>
    <w:basedOn w:val="Normal"/>
    <w:rsid w:val="000A50E6"/>
    <w:pPr>
      <w:pBdr>
        <w:left w:val="single" w:sz="4" w:space="0" w:color="auto"/>
      </w:pBdr>
      <w:spacing w:before="100" w:beforeAutospacing="1" w:after="100" w:afterAutospacing="1"/>
      <w:textAlignment w:val="top"/>
    </w:pPr>
    <w:rPr>
      <w:sz w:val="22"/>
      <w:szCs w:val="22"/>
    </w:rPr>
  </w:style>
  <w:style w:type="paragraph" w:customStyle="1" w:styleId="xl49">
    <w:name w:val="xl49"/>
    <w:basedOn w:val="Normal"/>
    <w:rsid w:val="000A50E6"/>
    <w:pPr>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50">
    <w:name w:val="xl50"/>
    <w:basedOn w:val="Normal"/>
    <w:rsid w:val="000A50E6"/>
    <w:pPr>
      <w:pBdr>
        <w:top w:val="single" w:sz="4" w:space="0" w:color="auto"/>
        <w:left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51">
    <w:name w:val="xl51"/>
    <w:basedOn w:val="Normal"/>
    <w:rsid w:val="000A50E6"/>
    <w:pPr>
      <w:pBdr>
        <w:top w:val="single" w:sz="4" w:space="0" w:color="auto"/>
        <w:bottom w:val="single" w:sz="4" w:space="0" w:color="auto"/>
      </w:pBdr>
      <w:spacing w:before="100" w:beforeAutospacing="1" w:after="100" w:afterAutospacing="1"/>
      <w:jc w:val="center"/>
      <w:textAlignment w:val="center"/>
    </w:pPr>
    <w:rPr>
      <w:color w:val="000000"/>
      <w:sz w:val="22"/>
      <w:szCs w:val="22"/>
    </w:rPr>
  </w:style>
  <w:style w:type="paragraph" w:customStyle="1" w:styleId="xl52">
    <w:name w:val="xl52"/>
    <w:basedOn w:val="Normal"/>
    <w:rsid w:val="000A50E6"/>
    <w:pPr>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53">
    <w:name w:val="xl53"/>
    <w:basedOn w:val="Normal"/>
    <w:rsid w:val="000A50E6"/>
    <w:pPr>
      <w:pBdr>
        <w:top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4">
    <w:name w:val="xl54"/>
    <w:basedOn w:val="Normal"/>
    <w:rsid w:val="000A50E6"/>
    <w:pPr>
      <w:pBdr>
        <w:top w:val="single" w:sz="4" w:space="0" w:color="auto"/>
        <w:bottom w:val="single" w:sz="4" w:space="0" w:color="auto"/>
      </w:pBdr>
      <w:spacing w:before="100" w:beforeAutospacing="1" w:after="100" w:afterAutospacing="1"/>
      <w:jc w:val="center"/>
    </w:pPr>
    <w:rPr>
      <w:sz w:val="22"/>
      <w:szCs w:val="22"/>
    </w:rPr>
  </w:style>
  <w:style w:type="paragraph" w:customStyle="1" w:styleId="xl55">
    <w:name w:val="xl55"/>
    <w:basedOn w:val="Normal"/>
    <w:rsid w:val="000A50E6"/>
    <w:pPr>
      <w:pBdr>
        <w:top w:val="single" w:sz="4" w:space="0" w:color="auto"/>
      </w:pBdr>
      <w:spacing w:before="100" w:beforeAutospacing="1" w:after="100" w:afterAutospacing="1"/>
      <w:jc w:val="center"/>
      <w:textAlignment w:val="top"/>
    </w:pPr>
    <w:rPr>
      <w:color w:val="000000"/>
      <w:sz w:val="22"/>
      <w:szCs w:val="22"/>
    </w:rPr>
  </w:style>
  <w:style w:type="paragraph" w:customStyle="1" w:styleId="xl56">
    <w:name w:val="xl56"/>
    <w:basedOn w:val="Normal"/>
    <w:rsid w:val="000A50E6"/>
    <w:pPr>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57">
    <w:name w:val="xl57"/>
    <w:basedOn w:val="Normal"/>
    <w:rsid w:val="000A50E6"/>
    <w:pPr>
      <w:pBdr>
        <w:top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58">
    <w:name w:val="xl58"/>
    <w:basedOn w:val="Normal"/>
    <w:rsid w:val="000A50E6"/>
    <w:pPr>
      <w:pBdr>
        <w:left w:val="single" w:sz="4" w:space="0" w:color="auto"/>
      </w:pBdr>
      <w:spacing w:before="100" w:beforeAutospacing="1" w:after="100" w:afterAutospacing="1"/>
    </w:pPr>
    <w:rPr>
      <w:sz w:val="22"/>
      <w:szCs w:val="22"/>
    </w:rPr>
  </w:style>
  <w:style w:type="paragraph" w:customStyle="1" w:styleId="xl59">
    <w:name w:val="xl59"/>
    <w:basedOn w:val="Normal"/>
    <w:rsid w:val="000A50E6"/>
    <w:pPr>
      <w:spacing w:before="100" w:beforeAutospacing="1" w:after="100" w:afterAutospacing="1"/>
      <w:textAlignment w:val="top"/>
    </w:pPr>
    <w:rPr>
      <w:sz w:val="22"/>
      <w:szCs w:val="22"/>
    </w:rPr>
  </w:style>
  <w:style w:type="paragraph" w:customStyle="1" w:styleId="xl60">
    <w:name w:val="xl60"/>
    <w:basedOn w:val="Normal"/>
    <w:rsid w:val="000A50E6"/>
    <w:pPr>
      <w:spacing w:before="100" w:beforeAutospacing="1" w:after="100" w:afterAutospacing="1"/>
      <w:jc w:val="center"/>
    </w:pPr>
    <w:rPr>
      <w:sz w:val="22"/>
      <w:szCs w:val="22"/>
    </w:rPr>
  </w:style>
  <w:style w:type="paragraph" w:customStyle="1" w:styleId="xl61">
    <w:name w:val="xl61"/>
    <w:basedOn w:val="Normal"/>
    <w:rsid w:val="000A50E6"/>
    <w:pPr>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62">
    <w:name w:val="xl62"/>
    <w:basedOn w:val="Normal"/>
    <w:rsid w:val="000A50E6"/>
    <w:pPr>
      <w:spacing w:before="100" w:beforeAutospacing="1" w:after="100" w:afterAutospacing="1"/>
      <w:jc w:val="center"/>
    </w:pPr>
    <w:rPr>
      <w:sz w:val="22"/>
      <w:szCs w:val="22"/>
    </w:rPr>
  </w:style>
  <w:style w:type="paragraph" w:customStyle="1" w:styleId="xl63">
    <w:name w:val="xl63"/>
    <w:basedOn w:val="Normal"/>
    <w:rsid w:val="000A50E6"/>
    <w:pPr>
      <w:pBdr>
        <w:right w:val="single" w:sz="4" w:space="0" w:color="auto"/>
      </w:pBdr>
      <w:spacing w:before="100" w:beforeAutospacing="1" w:after="100" w:afterAutospacing="1"/>
      <w:jc w:val="center"/>
    </w:pPr>
    <w:rPr>
      <w:sz w:val="22"/>
      <w:szCs w:val="22"/>
    </w:rPr>
  </w:style>
  <w:style w:type="paragraph" w:customStyle="1" w:styleId="xl64">
    <w:name w:val="xl64"/>
    <w:basedOn w:val="Normal"/>
    <w:rsid w:val="000A50E6"/>
    <w:pPr>
      <w:pBdr>
        <w:top w:val="single" w:sz="4" w:space="0" w:color="auto"/>
        <w:bottom w:val="single" w:sz="4" w:space="0" w:color="auto"/>
      </w:pBdr>
      <w:spacing w:before="100" w:beforeAutospacing="1" w:after="100" w:afterAutospacing="1"/>
      <w:jc w:val="center"/>
      <w:textAlignment w:val="center"/>
    </w:pPr>
    <w:rPr>
      <w:color w:val="000000"/>
      <w:sz w:val="22"/>
      <w:szCs w:val="22"/>
    </w:rPr>
  </w:style>
  <w:style w:type="paragraph" w:customStyle="1" w:styleId="xl65">
    <w:name w:val="xl65"/>
    <w:basedOn w:val="Normal"/>
    <w:rsid w:val="000A50E6"/>
    <w:pPr>
      <w:spacing w:before="100" w:beforeAutospacing="1" w:after="100" w:afterAutospacing="1"/>
      <w:jc w:val="right"/>
      <w:textAlignment w:val="top"/>
    </w:pPr>
    <w:rPr>
      <w:sz w:val="22"/>
      <w:szCs w:val="22"/>
    </w:rPr>
  </w:style>
  <w:style w:type="paragraph" w:customStyle="1" w:styleId="xl66">
    <w:name w:val="xl66"/>
    <w:basedOn w:val="Normal"/>
    <w:rsid w:val="000A50E6"/>
    <w:pPr>
      <w:spacing w:before="100" w:beforeAutospacing="1" w:after="100" w:afterAutospacing="1"/>
      <w:textAlignment w:val="top"/>
    </w:pPr>
    <w:rPr>
      <w:sz w:val="22"/>
      <w:szCs w:val="22"/>
    </w:rPr>
  </w:style>
  <w:style w:type="paragraph" w:customStyle="1" w:styleId="xl67">
    <w:name w:val="xl67"/>
    <w:basedOn w:val="Normal"/>
    <w:rsid w:val="000A50E6"/>
    <w:pPr>
      <w:pBdr>
        <w:top w:val="single" w:sz="4" w:space="0" w:color="auto"/>
        <w:left w:val="single" w:sz="4" w:space="0" w:color="auto"/>
        <w:bottom w:val="single" w:sz="4" w:space="0" w:color="auto"/>
      </w:pBdr>
      <w:spacing w:before="100" w:beforeAutospacing="1" w:after="100" w:afterAutospacing="1"/>
      <w:jc w:val="center"/>
    </w:pPr>
    <w:rPr>
      <w:sz w:val="22"/>
      <w:szCs w:val="22"/>
    </w:rPr>
  </w:style>
  <w:style w:type="paragraph" w:customStyle="1" w:styleId="xl68">
    <w:name w:val="xl68"/>
    <w:basedOn w:val="Normal"/>
    <w:rsid w:val="000A50E6"/>
    <w:pPr>
      <w:pBdr>
        <w:bottom w:val="single" w:sz="4" w:space="0" w:color="auto"/>
      </w:pBdr>
      <w:spacing w:before="100" w:beforeAutospacing="1" w:after="100" w:afterAutospacing="1"/>
      <w:jc w:val="right"/>
    </w:pPr>
    <w:rPr>
      <w:b/>
      <w:bCs/>
      <w:sz w:val="22"/>
      <w:szCs w:val="22"/>
    </w:rPr>
  </w:style>
  <w:style w:type="paragraph" w:customStyle="1" w:styleId="xl69">
    <w:name w:val="xl69"/>
    <w:basedOn w:val="Normal"/>
    <w:rsid w:val="000A50E6"/>
    <w:pPr>
      <w:spacing w:before="100" w:beforeAutospacing="1" w:after="100" w:afterAutospacing="1"/>
      <w:jc w:val="center"/>
    </w:pPr>
    <w:rPr>
      <w:b/>
      <w:bCs/>
    </w:rPr>
  </w:style>
  <w:style w:type="paragraph" w:customStyle="1" w:styleId="xl70">
    <w:name w:val="xl70"/>
    <w:basedOn w:val="Normal"/>
    <w:rsid w:val="000A50E6"/>
    <w:pPr>
      <w:pBdr>
        <w:left w:val="single" w:sz="4" w:space="0" w:color="auto"/>
      </w:pBdr>
      <w:spacing w:before="100" w:beforeAutospacing="1" w:after="100" w:afterAutospacing="1"/>
      <w:jc w:val="center"/>
      <w:textAlignment w:val="top"/>
    </w:pPr>
    <w:rPr>
      <w:color w:val="000000"/>
      <w:sz w:val="22"/>
      <w:szCs w:val="22"/>
    </w:rPr>
  </w:style>
  <w:style w:type="paragraph" w:customStyle="1" w:styleId="xl71">
    <w:name w:val="xl71"/>
    <w:basedOn w:val="Normal"/>
    <w:rsid w:val="000A50E6"/>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sz w:val="22"/>
      <w:szCs w:val="22"/>
    </w:rPr>
  </w:style>
  <w:style w:type="paragraph" w:customStyle="1" w:styleId="xl72">
    <w:name w:val="xl72"/>
    <w:basedOn w:val="Normal"/>
    <w:rsid w:val="000A50E6"/>
    <w:pPr>
      <w:pBdr>
        <w:left w:val="single" w:sz="4" w:space="0" w:color="auto"/>
      </w:pBdr>
      <w:spacing w:before="100" w:beforeAutospacing="1" w:after="100" w:afterAutospacing="1"/>
      <w:jc w:val="center"/>
    </w:pPr>
    <w:rPr>
      <w:sz w:val="22"/>
      <w:szCs w:val="22"/>
    </w:rPr>
  </w:style>
  <w:style w:type="paragraph" w:customStyle="1" w:styleId="xl73">
    <w:name w:val="xl73"/>
    <w:basedOn w:val="Normal"/>
    <w:rsid w:val="000A50E6"/>
    <w:pPr>
      <w:spacing w:before="100" w:beforeAutospacing="1" w:after="100" w:afterAutospacing="1"/>
      <w:jc w:val="both"/>
      <w:textAlignment w:val="top"/>
    </w:pPr>
    <w:rPr>
      <w:sz w:val="22"/>
      <w:szCs w:val="22"/>
    </w:rPr>
  </w:style>
  <w:style w:type="paragraph" w:styleId="Caption">
    <w:name w:val="caption"/>
    <w:basedOn w:val="Normal"/>
    <w:next w:val="Normal"/>
    <w:qFormat/>
    <w:rsid w:val="000A50E6"/>
    <w:pPr>
      <w:ind w:left="-540" w:right="-622"/>
      <w:jc w:val="center"/>
    </w:pPr>
    <w:rPr>
      <w:b/>
      <w:bCs/>
    </w:rPr>
  </w:style>
  <w:style w:type="paragraph" w:styleId="Title">
    <w:name w:val="Title"/>
    <w:basedOn w:val="Normal"/>
    <w:qFormat/>
    <w:rsid w:val="000A50E6"/>
    <w:pPr>
      <w:keepNext/>
      <w:spacing w:after="240"/>
      <w:jc w:val="center"/>
    </w:pPr>
    <w:rPr>
      <w:rFonts w:ascii="Times New Roman Bold" w:hAnsi="Times New Roman Bold"/>
      <w:b/>
      <w:bCs/>
      <w:caps/>
      <w:sz w:val="20"/>
      <w:szCs w:val="20"/>
    </w:rPr>
  </w:style>
  <w:style w:type="paragraph" w:customStyle="1" w:styleId="bodytext0">
    <w:name w:val="bodytext"/>
    <w:basedOn w:val="Normal"/>
    <w:rsid w:val="000A50E6"/>
    <w:pPr>
      <w:jc w:val="both"/>
    </w:pPr>
    <w:rPr>
      <w:rFonts w:ascii="Arial" w:hAnsi="Arial" w:cs="Arial"/>
    </w:rPr>
  </w:style>
  <w:style w:type="character" w:customStyle="1" w:styleId="colapress">
    <w:name w:val="colapress"/>
    <w:basedOn w:val="DefaultParagraphFont"/>
    <w:rsid w:val="000A50E6"/>
  </w:style>
  <w:style w:type="character" w:styleId="FollowedHyperlink">
    <w:name w:val="FollowedHyperlink"/>
    <w:basedOn w:val="DefaultParagraphFont"/>
    <w:rsid w:val="000A50E6"/>
    <w:rPr>
      <w:color w:val="800080"/>
      <w:u w:val="single"/>
    </w:rPr>
  </w:style>
  <w:style w:type="paragraph" w:styleId="BodyTextIndent3">
    <w:name w:val="Body Text Indent 3"/>
    <w:basedOn w:val="Normal"/>
    <w:rsid w:val="000A50E6"/>
    <w:pPr>
      <w:ind w:left="720"/>
      <w:jc w:val="both"/>
    </w:pPr>
  </w:style>
  <w:style w:type="paragraph" w:styleId="BalloonText">
    <w:name w:val="Balloon Text"/>
    <w:basedOn w:val="Normal"/>
    <w:rsid w:val="000A50E6"/>
    <w:rPr>
      <w:rFonts w:ascii="Tahoma" w:hAnsi="Tahoma" w:cs="Tahoma"/>
      <w:sz w:val="16"/>
      <w:szCs w:val="16"/>
    </w:rPr>
  </w:style>
  <w:style w:type="paragraph" w:customStyle="1" w:styleId="xl22">
    <w:name w:val="xl22"/>
    <w:basedOn w:val="Normal"/>
    <w:rsid w:val="000A50E6"/>
    <w:pPr>
      <w:spacing w:before="100" w:beforeAutospacing="1" w:after="100" w:afterAutospacing="1"/>
    </w:pPr>
    <w:rPr>
      <w:rFonts w:ascii="Arial" w:hAnsi="Arial" w:cs="Arial"/>
      <w:b/>
      <w:bCs/>
    </w:rPr>
  </w:style>
  <w:style w:type="paragraph" w:customStyle="1" w:styleId="xl23">
    <w:name w:val="xl23"/>
    <w:basedOn w:val="Normal"/>
    <w:rsid w:val="000A50E6"/>
    <w:pPr>
      <w:spacing w:before="100" w:beforeAutospacing="1" w:after="100" w:afterAutospacing="1"/>
    </w:pPr>
    <w:rPr>
      <w:rFonts w:ascii="Arial" w:hAnsi="Arial" w:cs="Arial"/>
    </w:rPr>
  </w:style>
  <w:style w:type="paragraph" w:styleId="BodyText2">
    <w:name w:val="Body Text 2"/>
    <w:basedOn w:val="Normal"/>
    <w:rsid w:val="000A50E6"/>
    <w:pPr>
      <w:jc w:val="both"/>
    </w:pPr>
    <w:rPr>
      <w:rFonts w:ascii="Arial" w:hAnsi="Arial" w:cs="Arial"/>
      <w:sz w:val="22"/>
      <w:szCs w:val="22"/>
      <w:u w:val="single"/>
    </w:rPr>
  </w:style>
  <w:style w:type="character" w:styleId="PageNumber">
    <w:name w:val="page number"/>
    <w:basedOn w:val="DefaultParagraphFont"/>
    <w:rsid w:val="000A50E6"/>
  </w:style>
  <w:style w:type="table" w:styleId="TableGrid">
    <w:name w:val="Table Grid"/>
    <w:basedOn w:val="TableNormal"/>
    <w:rsid w:val="000A50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0A50E6"/>
    <w:pPr>
      <w:spacing w:before="100" w:beforeAutospacing="1" w:after="100" w:afterAutospacing="1"/>
    </w:pPr>
    <w:rPr>
      <w:lang w:val="el-GR" w:eastAsia="el-GR"/>
    </w:rPr>
  </w:style>
  <w:style w:type="character" w:customStyle="1" w:styleId="text">
    <w:name w:val="text"/>
    <w:basedOn w:val="DefaultParagraphFont"/>
    <w:rsid w:val="000A50E6"/>
  </w:style>
  <w:style w:type="character" w:styleId="Strong">
    <w:name w:val="Strong"/>
    <w:basedOn w:val="DefaultParagraphFont"/>
    <w:qFormat/>
    <w:rsid w:val="000A50E6"/>
    <w:rPr>
      <w:b/>
      <w:bCs/>
    </w:rPr>
  </w:style>
  <w:style w:type="character" w:styleId="CommentReference">
    <w:name w:val="annotation reference"/>
    <w:basedOn w:val="DefaultParagraphFont"/>
    <w:uiPriority w:val="99"/>
    <w:semiHidden/>
    <w:rsid w:val="000A50E6"/>
    <w:rPr>
      <w:sz w:val="16"/>
      <w:szCs w:val="16"/>
    </w:rPr>
  </w:style>
  <w:style w:type="paragraph" w:styleId="CommentText">
    <w:name w:val="annotation text"/>
    <w:basedOn w:val="Normal"/>
    <w:link w:val="CommentTextChar"/>
    <w:uiPriority w:val="99"/>
    <w:semiHidden/>
    <w:rsid w:val="000A50E6"/>
    <w:rPr>
      <w:sz w:val="20"/>
      <w:szCs w:val="20"/>
    </w:rPr>
  </w:style>
  <w:style w:type="paragraph" w:styleId="CommentSubject">
    <w:name w:val="annotation subject"/>
    <w:basedOn w:val="CommentText"/>
    <w:next w:val="CommentText"/>
    <w:semiHidden/>
    <w:rsid w:val="000A50E6"/>
    <w:rPr>
      <w:b/>
      <w:bCs/>
    </w:rPr>
  </w:style>
  <w:style w:type="paragraph" w:customStyle="1" w:styleId="TXTParaStandardRomanLevel-1">
    <w:name w:val="TXT/Para Standard Roman Level-1"/>
    <w:basedOn w:val="Normal"/>
    <w:rsid w:val="000A50E6"/>
    <w:pPr>
      <w:widowControl w:val="0"/>
      <w:autoSpaceDE w:val="0"/>
      <w:autoSpaceDN w:val="0"/>
      <w:adjustRightInd w:val="0"/>
      <w:spacing w:after="120"/>
      <w:ind w:firstLine="400"/>
    </w:pPr>
    <w:rPr>
      <w:rFonts w:ascii="Dutch801 Rm BT" w:hAnsi="Dutch801 Rm BT" w:cs="Dutch801 Rm BT"/>
      <w:sz w:val="20"/>
      <w:szCs w:val="20"/>
    </w:rPr>
  </w:style>
  <w:style w:type="character" w:customStyle="1" w:styleId="DeltaViewInsertion">
    <w:name w:val="DeltaView Insertion"/>
    <w:rsid w:val="000A50E6"/>
    <w:rPr>
      <w:color w:val="0000FF"/>
      <w:spacing w:val="0"/>
      <w:u w:val="double"/>
    </w:rPr>
  </w:style>
  <w:style w:type="paragraph" w:styleId="FootnoteText">
    <w:name w:val="footnote text"/>
    <w:basedOn w:val="Normal"/>
    <w:link w:val="FootnoteTextChar"/>
    <w:semiHidden/>
    <w:rsid w:val="000A50E6"/>
    <w:rPr>
      <w:sz w:val="20"/>
      <w:szCs w:val="20"/>
    </w:rPr>
  </w:style>
  <w:style w:type="character" w:styleId="FootnoteReference">
    <w:name w:val="footnote reference"/>
    <w:basedOn w:val="DefaultParagraphFont"/>
    <w:semiHidden/>
    <w:rsid w:val="000A50E6"/>
    <w:rPr>
      <w:vertAlign w:val="superscript"/>
    </w:rPr>
  </w:style>
  <w:style w:type="paragraph" w:customStyle="1" w:styleId="NormalWeb1">
    <w:name w:val="Normal (Web)1"/>
    <w:basedOn w:val="Normal"/>
    <w:rsid w:val="000A50E6"/>
    <w:pPr>
      <w:spacing w:before="100" w:beforeAutospacing="1" w:after="188"/>
    </w:pPr>
  </w:style>
  <w:style w:type="paragraph" w:customStyle="1" w:styleId="CharCharCharCharCharChar1">
    <w:name w:val="Char Char Char Char Char Char1"/>
    <w:basedOn w:val="Normal"/>
    <w:rsid w:val="000A50E6"/>
    <w:pPr>
      <w:spacing w:after="160" w:line="240" w:lineRule="exact"/>
    </w:pPr>
    <w:rPr>
      <w:rFonts w:ascii="Verdana" w:hAnsi="Verdana" w:cs="Arial"/>
      <w:sz w:val="22"/>
      <w:szCs w:val="20"/>
    </w:rPr>
  </w:style>
  <w:style w:type="paragraph" w:customStyle="1" w:styleId="CharCharCharCharCharChar1CharCharCharCharCharCharCharCharChar">
    <w:name w:val="Char Char Char Char Char Char1 Char Char Char Char Char Char Char Char Char"/>
    <w:basedOn w:val="Normal"/>
    <w:rsid w:val="000A50E6"/>
    <w:pPr>
      <w:spacing w:after="160" w:line="240" w:lineRule="exact"/>
    </w:pPr>
    <w:rPr>
      <w:rFonts w:ascii="Verdana" w:eastAsia="SimSun" w:hAnsi="Verdana" w:cs="Arial"/>
      <w:sz w:val="22"/>
      <w:szCs w:val="20"/>
    </w:rPr>
  </w:style>
  <w:style w:type="character" w:customStyle="1" w:styleId="FooterChar">
    <w:name w:val="Footer Char"/>
    <w:basedOn w:val="DefaultParagraphFont"/>
    <w:link w:val="Footer"/>
    <w:uiPriority w:val="99"/>
    <w:rsid w:val="000A50E6"/>
    <w:rPr>
      <w:sz w:val="22"/>
      <w:szCs w:val="22"/>
      <w:lang w:val="en-US" w:eastAsia="en-US" w:bidi="ar-SA"/>
    </w:rPr>
  </w:style>
  <w:style w:type="paragraph" w:customStyle="1" w:styleId="Normal73">
    <w:name w:val="Normal_73"/>
    <w:qFormat/>
    <w:rsid w:val="000A50E6"/>
    <w:pPr>
      <w:widowControl w:val="0"/>
      <w:autoSpaceDE w:val="0"/>
      <w:autoSpaceDN w:val="0"/>
      <w:adjustRightInd w:val="0"/>
    </w:pPr>
    <w:rPr>
      <w:szCs w:val="22"/>
    </w:rPr>
  </w:style>
  <w:style w:type="character" w:customStyle="1" w:styleId="apple-style-span">
    <w:name w:val="apple-style-span"/>
    <w:basedOn w:val="DefaultParagraphFont"/>
    <w:rsid w:val="000A50E6"/>
  </w:style>
  <w:style w:type="paragraph" w:styleId="ListParagraph">
    <w:name w:val="List Paragraph"/>
    <w:basedOn w:val="Normal"/>
    <w:uiPriority w:val="34"/>
    <w:qFormat/>
    <w:rsid w:val="009F131A"/>
    <w:pPr>
      <w:ind w:left="720"/>
      <w:contextualSpacing/>
    </w:pPr>
  </w:style>
  <w:style w:type="character" w:customStyle="1" w:styleId="BodyText3Char">
    <w:name w:val="Body Text 3 Char"/>
    <w:basedOn w:val="DefaultParagraphFont"/>
    <w:link w:val="BodyText3"/>
    <w:rsid w:val="002520AF"/>
    <w:rPr>
      <w:sz w:val="24"/>
      <w:szCs w:val="24"/>
    </w:rPr>
  </w:style>
  <w:style w:type="paragraph" w:styleId="EndnoteText">
    <w:name w:val="endnote text"/>
    <w:basedOn w:val="Normal"/>
    <w:link w:val="EndnoteTextChar"/>
    <w:uiPriority w:val="99"/>
    <w:semiHidden/>
    <w:unhideWhenUsed/>
    <w:rsid w:val="00B005CE"/>
    <w:rPr>
      <w:sz w:val="20"/>
      <w:szCs w:val="20"/>
    </w:rPr>
  </w:style>
  <w:style w:type="character" w:customStyle="1" w:styleId="EndnoteTextChar">
    <w:name w:val="Endnote Text Char"/>
    <w:basedOn w:val="DefaultParagraphFont"/>
    <w:link w:val="EndnoteText"/>
    <w:uiPriority w:val="99"/>
    <w:semiHidden/>
    <w:rsid w:val="00B005CE"/>
    <w:rPr>
      <w:lang w:val="en-GB"/>
    </w:rPr>
  </w:style>
  <w:style w:type="character" w:styleId="EndnoteReference">
    <w:name w:val="endnote reference"/>
    <w:basedOn w:val="DefaultParagraphFont"/>
    <w:uiPriority w:val="99"/>
    <w:semiHidden/>
    <w:unhideWhenUsed/>
    <w:rsid w:val="00B005CE"/>
    <w:rPr>
      <w:vertAlign w:val="superscript"/>
    </w:rPr>
  </w:style>
  <w:style w:type="paragraph" w:customStyle="1" w:styleId="Default">
    <w:name w:val="Default"/>
    <w:rsid w:val="00CE790C"/>
    <w:pPr>
      <w:autoSpaceDE w:val="0"/>
      <w:autoSpaceDN w:val="0"/>
      <w:adjustRightInd w:val="0"/>
    </w:pPr>
    <w:rPr>
      <w:rFonts w:ascii="Arial" w:eastAsia="Calibri" w:hAnsi="Arial" w:cs="Arial"/>
      <w:color w:val="000000"/>
      <w:sz w:val="24"/>
      <w:szCs w:val="24"/>
    </w:rPr>
  </w:style>
  <w:style w:type="paragraph" w:styleId="Revision">
    <w:name w:val="Revision"/>
    <w:hidden/>
    <w:uiPriority w:val="99"/>
    <w:semiHidden/>
    <w:rsid w:val="0018072A"/>
    <w:rPr>
      <w:sz w:val="24"/>
      <w:szCs w:val="24"/>
      <w:lang w:val="en-GB"/>
    </w:rPr>
  </w:style>
  <w:style w:type="character" w:customStyle="1" w:styleId="FootnoteTextChar">
    <w:name w:val="Footnote Text Char"/>
    <w:basedOn w:val="DefaultParagraphFont"/>
    <w:link w:val="FootnoteText"/>
    <w:semiHidden/>
    <w:rsid w:val="00DA7037"/>
    <w:rPr>
      <w:lang w:val="en-GB"/>
    </w:rPr>
  </w:style>
  <w:style w:type="character" w:customStyle="1" w:styleId="HeaderChar">
    <w:name w:val="Header Char"/>
    <w:basedOn w:val="DefaultParagraphFont"/>
    <w:link w:val="Header"/>
    <w:uiPriority w:val="99"/>
    <w:rsid w:val="00CC2DCA"/>
    <w:rPr>
      <w:sz w:val="24"/>
      <w:szCs w:val="24"/>
      <w:lang w:val="en-GB"/>
    </w:rPr>
  </w:style>
  <w:style w:type="paragraph" w:customStyle="1" w:styleId="DMETW482BIPGrowthTable">
    <w:name w:val="DM_ETW_482_BIP_Growth_Table"/>
    <w:rsid w:val="009A036B"/>
    <w:rPr>
      <w:rFonts w:ascii="Effra Corp" w:eastAsia="Effra Corp" w:hAnsi="Effra Corp" w:cs="Effra Corp"/>
      <w:b/>
    </w:rPr>
  </w:style>
  <w:style w:type="paragraph" w:customStyle="1" w:styleId="DMETW482BIPSegmemantalNSRVolume">
    <w:name w:val="DM_ETW_482_BIP_Segmemantal_NSR_Volume"/>
    <w:rsid w:val="00D07CC0"/>
    <w:rPr>
      <w:rFonts w:ascii="Effra Corp" w:eastAsia="Effra Corp" w:hAnsi="Effra Corp" w:cs="Effra Corp"/>
      <w:b/>
      <w:color w:val="FF0000"/>
    </w:rPr>
  </w:style>
  <w:style w:type="paragraph" w:customStyle="1" w:styleId="DMETW482BIPNARTDPremium">
    <w:name w:val="DM_ETW_482_BIP_NARTD_Premium"/>
    <w:rsid w:val="00D07CC0"/>
    <w:rPr>
      <w:rFonts w:ascii="Effra Corp" w:eastAsia="Effra Corp" w:hAnsi="Effra Corp" w:cs="Effra Corp"/>
      <w:b/>
      <w:color w:val="FF0000"/>
    </w:rPr>
  </w:style>
  <w:style w:type="paragraph" w:customStyle="1" w:styleId="DMETW482BIPCurrencyimpact">
    <w:name w:val="DM_ETW_482_BIP_Currency_impact"/>
    <w:rsid w:val="00D07CC0"/>
    <w:rPr>
      <w:rFonts w:ascii="Effra Corp" w:eastAsia="Effra Corp" w:hAnsi="Effra Corp" w:cs="Effra Corp"/>
    </w:rPr>
  </w:style>
  <w:style w:type="character" w:customStyle="1" w:styleId="UnresolvedMention1">
    <w:name w:val="Unresolved Mention1"/>
    <w:basedOn w:val="DefaultParagraphFont"/>
    <w:uiPriority w:val="99"/>
    <w:semiHidden/>
    <w:unhideWhenUsed/>
    <w:rsid w:val="007E556C"/>
    <w:rPr>
      <w:color w:val="605E5C"/>
      <w:shd w:val="clear" w:color="auto" w:fill="E1DFDD"/>
    </w:rPr>
  </w:style>
  <w:style w:type="paragraph" w:customStyle="1" w:styleId="xmsonormal">
    <w:name w:val="x_msonormal"/>
    <w:basedOn w:val="Normal"/>
    <w:rsid w:val="00BD0B4E"/>
    <w:rPr>
      <w:rFonts w:eastAsiaTheme="minorHAnsi"/>
      <w:lang w:eastAsia="en-GB"/>
    </w:rPr>
  </w:style>
  <w:style w:type="paragraph" w:customStyle="1" w:styleId="paragraph">
    <w:name w:val="paragraph"/>
    <w:basedOn w:val="Normal"/>
    <w:rsid w:val="00B25E6B"/>
    <w:pPr>
      <w:spacing w:before="100" w:beforeAutospacing="1" w:after="100" w:afterAutospacing="1"/>
    </w:pPr>
    <w:rPr>
      <w:lang w:eastAsia="en-GB"/>
    </w:rPr>
  </w:style>
  <w:style w:type="character" w:customStyle="1" w:styleId="CommentTextChar">
    <w:name w:val="Comment Text Char"/>
    <w:basedOn w:val="DefaultParagraphFont"/>
    <w:link w:val="CommentText"/>
    <w:uiPriority w:val="99"/>
    <w:semiHidden/>
    <w:rsid w:val="00CB1D08"/>
    <w:rPr>
      <w:lang w:eastAsia="de-DE"/>
    </w:rPr>
  </w:style>
  <w:style w:type="paragraph" w:customStyle="1" w:styleId="DMETW931BIPGrowthTable">
    <w:name w:val="DM_ETW_931_BIP_Growth_Table"/>
    <w:rsid w:val="004742D8"/>
    <w:rPr>
      <w:rFonts w:ascii="Effra Corp" w:eastAsia="Effra Corp" w:hAnsi="Effra Corp" w:cs="Effra Corp"/>
      <w:b/>
    </w:rPr>
  </w:style>
  <w:style w:type="paragraph" w:customStyle="1" w:styleId="DMETW931BIPSegmemantalNSRVolume">
    <w:name w:val="DM_ETW_931_BIP_Segmemantal_NSR_Volume"/>
    <w:rsid w:val="00F46B71"/>
    <w:rPr>
      <w:rFonts w:ascii="Effra Corp" w:eastAsia="Effra Corp" w:hAnsi="Effra Corp" w:cs="Effra Corp"/>
      <w:b/>
      <w:color w:val="FF0000"/>
    </w:rPr>
  </w:style>
  <w:style w:type="paragraph" w:customStyle="1" w:styleId="DMETW931BIPNARTDPremium">
    <w:name w:val="DM_ETW_931_BIP_NARTD_Premium"/>
    <w:rsid w:val="002063B0"/>
    <w:rPr>
      <w:rFonts w:ascii="Effra Corp" w:eastAsia="Effra Corp" w:hAnsi="Effra Corp" w:cs="Effra Corp"/>
      <w:b/>
      <w:color w:val="FF0000"/>
    </w:rPr>
  </w:style>
  <w:style w:type="paragraph" w:customStyle="1" w:styleId="DMETW931BIPCurrencyimpact">
    <w:name w:val="DM_ETW_931_BIP_Currency_impact"/>
    <w:rsid w:val="008468C2"/>
    <w:rPr>
      <w:rFonts w:ascii="Effra Corp" w:eastAsia="Effra Corp" w:hAnsi="Effra Corp" w:cs="Effra Corp"/>
    </w:rPr>
  </w:style>
  <w:style w:type="paragraph" w:customStyle="1" w:styleId="DMETW931BIPCurrencyimpact9">
    <w:name w:val="DM_ETW_931_BIP_Currency_impact_9"/>
    <w:rsid w:val="00D1218B"/>
    <w:rPr>
      <w:rFonts w:ascii="Effra Corp" w:eastAsia="Effra Corp" w:hAnsi="Effra Corp" w:cs="Effra Corp"/>
    </w:rPr>
  </w:style>
  <w:style w:type="paragraph" w:customStyle="1" w:styleId="DMETW931BIP9M2018">
    <w:name w:val="DM_ETW_931_BIP_9M2018"/>
    <w:rsid w:val="00B01BE5"/>
    <w:rPr>
      <w:rFonts w:ascii="Effra Corp" w:eastAsia="Effra Corp" w:hAnsi="Effra Corp" w:cs="Effra Corp"/>
    </w:rPr>
  </w:style>
  <w:style w:type="paragraph" w:customStyle="1" w:styleId="DMETW931BIPGrowthinclMulton">
    <w:name w:val="DM_ETW_931_BIP_Growth_incl_Multon"/>
    <w:rsid w:val="009857AA"/>
    <w:rPr>
      <w:rFonts w:ascii="Effra Corp" w:eastAsia="Effra Corp" w:hAnsi="Effra Corp" w:cs="Effra Corp"/>
      <w:b/>
    </w:rPr>
  </w:style>
  <w:style w:type="paragraph" w:customStyle="1" w:styleId="xmsofooter">
    <w:name w:val="x_msofooter"/>
    <w:basedOn w:val="Normal"/>
    <w:rsid w:val="00D337FE"/>
    <w:rPr>
      <w:rFonts w:eastAsiaTheme="minorHAnsi"/>
      <w:sz w:val="22"/>
      <w:szCs w:val="22"/>
      <w:lang w:eastAsia="en-GB"/>
    </w:rPr>
  </w:style>
  <w:style w:type="paragraph" w:customStyle="1" w:styleId="DMETW939BIPGrowthTable">
    <w:name w:val="DM_ETW_939_BIP_Growth_Table"/>
    <w:rsid w:val="00CE3B47"/>
    <w:rPr>
      <w:rFonts w:ascii="Effra Corp" w:eastAsia="Effra Corp" w:hAnsi="Effra Corp" w:cs="Effra Corp"/>
      <w:b/>
    </w:rPr>
  </w:style>
  <w:style w:type="paragraph" w:customStyle="1" w:styleId="DMETW939BIPSegmemantalNSRVolume">
    <w:name w:val="DM_ETW_939_BIP_Segmemantal_NSR_Volume"/>
    <w:rsid w:val="00CE3B47"/>
    <w:rPr>
      <w:rFonts w:ascii="Effra Corp" w:eastAsia="Effra Corp" w:hAnsi="Effra Corp" w:cs="Effra Corp"/>
      <w:b/>
      <w:color w:val="FF0000"/>
    </w:rPr>
  </w:style>
  <w:style w:type="paragraph" w:customStyle="1" w:styleId="DMETW939BIPNARTDPremium">
    <w:name w:val="DM_ETW_939_BIP_NARTD_Premium"/>
    <w:rsid w:val="00867D1D"/>
    <w:rPr>
      <w:rFonts w:ascii="Effra Corp" w:eastAsia="Effra Corp" w:hAnsi="Effra Corp" w:cs="Effra Corp"/>
      <w:b/>
      <w:color w:val="FF0000"/>
    </w:rPr>
  </w:style>
  <w:style w:type="paragraph" w:customStyle="1" w:styleId="DMETW939BIPGrowthinclMulton">
    <w:name w:val="DM_ETW_939_BIP_Growth_incl_Multon"/>
    <w:rsid w:val="00CE3B47"/>
    <w:rPr>
      <w:rFonts w:ascii="Effra Corp" w:eastAsia="Effra Corp" w:hAnsi="Effra Corp" w:cs="Effra Corp"/>
      <w:b/>
    </w:rPr>
  </w:style>
  <w:style w:type="paragraph" w:customStyle="1" w:styleId="DMETW939BIPCurrencyimpact">
    <w:name w:val="DM_ETW_939_BIP_Currency_impact"/>
    <w:rsid w:val="00AD04D3"/>
    <w:rPr>
      <w:rFonts w:ascii="Effra Corp" w:eastAsia="Effra Corp" w:hAnsi="Effra Corp" w:cs="Effra Corp"/>
    </w:rPr>
  </w:style>
  <w:style w:type="character" w:styleId="UnresolvedMention">
    <w:name w:val="Unresolved Mention"/>
    <w:basedOn w:val="DefaultParagraphFont"/>
    <w:uiPriority w:val="99"/>
    <w:unhideWhenUsed/>
    <w:rsid w:val="009649DB"/>
    <w:rPr>
      <w:color w:val="605E5C"/>
      <w:shd w:val="clear" w:color="auto" w:fill="E1DFDD"/>
    </w:rPr>
  </w:style>
  <w:style w:type="paragraph" w:customStyle="1" w:styleId="DMETW1139BIPSegmemantalNSRVolume">
    <w:name w:val="DM_ETW_1139_BIP_Segmemantal_NSR_Volume"/>
    <w:rsid w:val="001D67D0"/>
    <w:rPr>
      <w:rFonts w:ascii="Effra Corp" w:eastAsia="Effra Corp" w:hAnsi="Effra Corp" w:cs="Effra Corp"/>
      <w:b/>
      <w:color w:val="FF0000"/>
    </w:rPr>
  </w:style>
  <w:style w:type="paragraph" w:customStyle="1" w:styleId="DMETW1139BIPNARTDPremium">
    <w:name w:val="DM_ETW_1139_BIP_NARTD_Premium"/>
    <w:rsid w:val="00063BFD"/>
    <w:rPr>
      <w:rFonts w:ascii="Effra Corp" w:eastAsia="Effra Corp" w:hAnsi="Effra Corp" w:cs="Effra Corp"/>
      <w:b/>
      <w:color w:val="FF0000"/>
    </w:rPr>
  </w:style>
  <w:style w:type="paragraph" w:customStyle="1" w:styleId="DMETW1139BIPCurrencyimpact">
    <w:name w:val="DM_ETW_1139_BIP_Currency_impact_"/>
    <w:rsid w:val="00456426"/>
    <w:rPr>
      <w:rFonts w:ascii="Effra Corp" w:eastAsia="Effra Corp" w:hAnsi="Effra Corp" w:cs="Effra Corp"/>
    </w:rPr>
  </w:style>
  <w:style w:type="paragraph" w:customStyle="1" w:styleId="DMETW1139BIPGrowthTable">
    <w:name w:val="DM_ETW_1139_BIP_Growth_Table"/>
    <w:rsid w:val="00591374"/>
    <w:rPr>
      <w:rFonts w:ascii="Effra Corp" w:eastAsia="Effra Corp" w:hAnsi="Effra Corp" w:cs="Effra Corp"/>
      <w:b/>
    </w:rPr>
  </w:style>
  <w:style w:type="paragraph" w:customStyle="1" w:styleId="DMETW1139BIPOrganicReconciliation">
    <w:name w:val="DM_ETW_1139_BIP_OrganicReconciliation"/>
    <w:rsid w:val="009C5321"/>
    <w:rPr>
      <w:rFonts w:ascii="Effra Corp" w:eastAsia="Effra Corp" w:hAnsi="Effra Corp" w:cs="Effra Corp"/>
    </w:rPr>
  </w:style>
  <w:style w:type="character" w:styleId="Mention">
    <w:name w:val="Mention"/>
    <w:basedOn w:val="DefaultParagraphFont"/>
    <w:uiPriority w:val="99"/>
    <w:unhideWhenUsed/>
    <w:rsid w:val="00E71FA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89622">
      <w:bodyDiv w:val="1"/>
      <w:marLeft w:val="0"/>
      <w:marRight w:val="0"/>
      <w:marTop w:val="0"/>
      <w:marBottom w:val="0"/>
      <w:divBdr>
        <w:top w:val="none" w:sz="0" w:space="0" w:color="auto"/>
        <w:left w:val="none" w:sz="0" w:space="0" w:color="auto"/>
        <w:bottom w:val="none" w:sz="0" w:space="0" w:color="auto"/>
        <w:right w:val="none" w:sz="0" w:space="0" w:color="auto"/>
      </w:divBdr>
    </w:div>
    <w:div w:id="38746500">
      <w:bodyDiv w:val="1"/>
      <w:marLeft w:val="0"/>
      <w:marRight w:val="0"/>
      <w:marTop w:val="0"/>
      <w:marBottom w:val="0"/>
      <w:divBdr>
        <w:top w:val="none" w:sz="0" w:space="0" w:color="auto"/>
        <w:left w:val="none" w:sz="0" w:space="0" w:color="auto"/>
        <w:bottom w:val="none" w:sz="0" w:space="0" w:color="auto"/>
        <w:right w:val="none" w:sz="0" w:space="0" w:color="auto"/>
      </w:divBdr>
    </w:div>
    <w:div w:id="67315644">
      <w:bodyDiv w:val="1"/>
      <w:marLeft w:val="0"/>
      <w:marRight w:val="0"/>
      <w:marTop w:val="0"/>
      <w:marBottom w:val="0"/>
      <w:divBdr>
        <w:top w:val="none" w:sz="0" w:space="0" w:color="auto"/>
        <w:left w:val="none" w:sz="0" w:space="0" w:color="auto"/>
        <w:bottom w:val="none" w:sz="0" w:space="0" w:color="auto"/>
        <w:right w:val="none" w:sz="0" w:space="0" w:color="auto"/>
      </w:divBdr>
    </w:div>
    <w:div w:id="95954546">
      <w:bodyDiv w:val="1"/>
      <w:marLeft w:val="0"/>
      <w:marRight w:val="0"/>
      <w:marTop w:val="0"/>
      <w:marBottom w:val="0"/>
      <w:divBdr>
        <w:top w:val="none" w:sz="0" w:space="0" w:color="auto"/>
        <w:left w:val="none" w:sz="0" w:space="0" w:color="auto"/>
        <w:bottom w:val="none" w:sz="0" w:space="0" w:color="auto"/>
        <w:right w:val="none" w:sz="0" w:space="0" w:color="auto"/>
      </w:divBdr>
    </w:div>
    <w:div w:id="118183013">
      <w:bodyDiv w:val="1"/>
      <w:marLeft w:val="0"/>
      <w:marRight w:val="0"/>
      <w:marTop w:val="0"/>
      <w:marBottom w:val="0"/>
      <w:divBdr>
        <w:top w:val="none" w:sz="0" w:space="0" w:color="auto"/>
        <w:left w:val="none" w:sz="0" w:space="0" w:color="auto"/>
        <w:bottom w:val="none" w:sz="0" w:space="0" w:color="auto"/>
        <w:right w:val="none" w:sz="0" w:space="0" w:color="auto"/>
      </w:divBdr>
    </w:div>
    <w:div w:id="129783089">
      <w:bodyDiv w:val="1"/>
      <w:marLeft w:val="0"/>
      <w:marRight w:val="0"/>
      <w:marTop w:val="0"/>
      <w:marBottom w:val="0"/>
      <w:divBdr>
        <w:top w:val="none" w:sz="0" w:space="0" w:color="auto"/>
        <w:left w:val="none" w:sz="0" w:space="0" w:color="auto"/>
        <w:bottom w:val="none" w:sz="0" w:space="0" w:color="auto"/>
        <w:right w:val="none" w:sz="0" w:space="0" w:color="auto"/>
      </w:divBdr>
    </w:div>
    <w:div w:id="156461123">
      <w:bodyDiv w:val="1"/>
      <w:marLeft w:val="0"/>
      <w:marRight w:val="0"/>
      <w:marTop w:val="0"/>
      <w:marBottom w:val="0"/>
      <w:divBdr>
        <w:top w:val="none" w:sz="0" w:space="0" w:color="auto"/>
        <w:left w:val="none" w:sz="0" w:space="0" w:color="auto"/>
        <w:bottom w:val="none" w:sz="0" w:space="0" w:color="auto"/>
        <w:right w:val="none" w:sz="0" w:space="0" w:color="auto"/>
      </w:divBdr>
    </w:div>
    <w:div w:id="157504600">
      <w:bodyDiv w:val="1"/>
      <w:marLeft w:val="0"/>
      <w:marRight w:val="0"/>
      <w:marTop w:val="0"/>
      <w:marBottom w:val="0"/>
      <w:divBdr>
        <w:top w:val="none" w:sz="0" w:space="0" w:color="auto"/>
        <w:left w:val="none" w:sz="0" w:space="0" w:color="auto"/>
        <w:bottom w:val="none" w:sz="0" w:space="0" w:color="auto"/>
        <w:right w:val="none" w:sz="0" w:space="0" w:color="auto"/>
      </w:divBdr>
    </w:div>
    <w:div w:id="158347084">
      <w:bodyDiv w:val="1"/>
      <w:marLeft w:val="0"/>
      <w:marRight w:val="0"/>
      <w:marTop w:val="0"/>
      <w:marBottom w:val="0"/>
      <w:divBdr>
        <w:top w:val="none" w:sz="0" w:space="0" w:color="auto"/>
        <w:left w:val="none" w:sz="0" w:space="0" w:color="auto"/>
        <w:bottom w:val="none" w:sz="0" w:space="0" w:color="auto"/>
        <w:right w:val="none" w:sz="0" w:space="0" w:color="auto"/>
      </w:divBdr>
    </w:div>
    <w:div w:id="204104267">
      <w:bodyDiv w:val="1"/>
      <w:marLeft w:val="0"/>
      <w:marRight w:val="0"/>
      <w:marTop w:val="0"/>
      <w:marBottom w:val="0"/>
      <w:divBdr>
        <w:top w:val="none" w:sz="0" w:space="0" w:color="auto"/>
        <w:left w:val="none" w:sz="0" w:space="0" w:color="auto"/>
        <w:bottom w:val="none" w:sz="0" w:space="0" w:color="auto"/>
        <w:right w:val="none" w:sz="0" w:space="0" w:color="auto"/>
      </w:divBdr>
    </w:div>
    <w:div w:id="205989732">
      <w:bodyDiv w:val="1"/>
      <w:marLeft w:val="0"/>
      <w:marRight w:val="0"/>
      <w:marTop w:val="0"/>
      <w:marBottom w:val="0"/>
      <w:divBdr>
        <w:top w:val="none" w:sz="0" w:space="0" w:color="auto"/>
        <w:left w:val="none" w:sz="0" w:space="0" w:color="auto"/>
        <w:bottom w:val="none" w:sz="0" w:space="0" w:color="auto"/>
        <w:right w:val="none" w:sz="0" w:space="0" w:color="auto"/>
      </w:divBdr>
    </w:div>
    <w:div w:id="212429489">
      <w:bodyDiv w:val="1"/>
      <w:marLeft w:val="0"/>
      <w:marRight w:val="0"/>
      <w:marTop w:val="0"/>
      <w:marBottom w:val="0"/>
      <w:divBdr>
        <w:top w:val="none" w:sz="0" w:space="0" w:color="auto"/>
        <w:left w:val="none" w:sz="0" w:space="0" w:color="auto"/>
        <w:bottom w:val="none" w:sz="0" w:space="0" w:color="auto"/>
        <w:right w:val="none" w:sz="0" w:space="0" w:color="auto"/>
      </w:divBdr>
    </w:div>
    <w:div w:id="229271064">
      <w:bodyDiv w:val="1"/>
      <w:marLeft w:val="0"/>
      <w:marRight w:val="0"/>
      <w:marTop w:val="0"/>
      <w:marBottom w:val="0"/>
      <w:divBdr>
        <w:top w:val="none" w:sz="0" w:space="0" w:color="auto"/>
        <w:left w:val="none" w:sz="0" w:space="0" w:color="auto"/>
        <w:bottom w:val="none" w:sz="0" w:space="0" w:color="auto"/>
        <w:right w:val="none" w:sz="0" w:space="0" w:color="auto"/>
      </w:divBdr>
    </w:div>
    <w:div w:id="252205286">
      <w:bodyDiv w:val="1"/>
      <w:marLeft w:val="0"/>
      <w:marRight w:val="0"/>
      <w:marTop w:val="0"/>
      <w:marBottom w:val="0"/>
      <w:divBdr>
        <w:top w:val="none" w:sz="0" w:space="0" w:color="auto"/>
        <w:left w:val="none" w:sz="0" w:space="0" w:color="auto"/>
        <w:bottom w:val="none" w:sz="0" w:space="0" w:color="auto"/>
        <w:right w:val="none" w:sz="0" w:space="0" w:color="auto"/>
      </w:divBdr>
    </w:div>
    <w:div w:id="284696180">
      <w:bodyDiv w:val="1"/>
      <w:marLeft w:val="0"/>
      <w:marRight w:val="0"/>
      <w:marTop w:val="0"/>
      <w:marBottom w:val="0"/>
      <w:divBdr>
        <w:top w:val="none" w:sz="0" w:space="0" w:color="auto"/>
        <w:left w:val="none" w:sz="0" w:space="0" w:color="auto"/>
        <w:bottom w:val="none" w:sz="0" w:space="0" w:color="auto"/>
        <w:right w:val="none" w:sz="0" w:space="0" w:color="auto"/>
      </w:divBdr>
    </w:div>
    <w:div w:id="305159707">
      <w:bodyDiv w:val="1"/>
      <w:marLeft w:val="0"/>
      <w:marRight w:val="0"/>
      <w:marTop w:val="0"/>
      <w:marBottom w:val="0"/>
      <w:divBdr>
        <w:top w:val="none" w:sz="0" w:space="0" w:color="auto"/>
        <w:left w:val="none" w:sz="0" w:space="0" w:color="auto"/>
        <w:bottom w:val="none" w:sz="0" w:space="0" w:color="auto"/>
        <w:right w:val="none" w:sz="0" w:space="0" w:color="auto"/>
      </w:divBdr>
    </w:div>
    <w:div w:id="321742089">
      <w:bodyDiv w:val="1"/>
      <w:marLeft w:val="0"/>
      <w:marRight w:val="0"/>
      <w:marTop w:val="0"/>
      <w:marBottom w:val="0"/>
      <w:divBdr>
        <w:top w:val="none" w:sz="0" w:space="0" w:color="auto"/>
        <w:left w:val="none" w:sz="0" w:space="0" w:color="auto"/>
        <w:bottom w:val="none" w:sz="0" w:space="0" w:color="auto"/>
        <w:right w:val="none" w:sz="0" w:space="0" w:color="auto"/>
      </w:divBdr>
    </w:div>
    <w:div w:id="343169378">
      <w:bodyDiv w:val="1"/>
      <w:marLeft w:val="0"/>
      <w:marRight w:val="0"/>
      <w:marTop w:val="0"/>
      <w:marBottom w:val="0"/>
      <w:divBdr>
        <w:top w:val="none" w:sz="0" w:space="0" w:color="auto"/>
        <w:left w:val="none" w:sz="0" w:space="0" w:color="auto"/>
        <w:bottom w:val="none" w:sz="0" w:space="0" w:color="auto"/>
        <w:right w:val="none" w:sz="0" w:space="0" w:color="auto"/>
      </w:divBdr>
    </w:div>
    <w:div w:id="357203066">
      <w:bodyDiv w:val="1"/>
      <w:marLeft w:val="0"/>
      <w:marRight w:val="0"/>
      <w:marTop w:val="0"/>
      <w:marBottom w:val="0"/>
      <w:divBdr>
        <w:top w:val="none" w:sz="0" w:space="0" w:color="auto"/>
        <w:left w:val="none" w:sz="0" w:space="0" w:color="auto"/>
        <w:bottom w:val="none" w:sz="0" w:space="0" w:color="auto"/>
        <w:right w:val="none" w:sz="0" w:space="0" w:color="auto"/>
      </w:divBdr>
    </w:div>
    <w:div w:id="367024075">
      <w:bodyDiv w:val="1"/>
      <w:marLeft w:val="0"/>
      <w:marRight w:val="0"/>
      <w:marTop w:val="0"/>
      <w:marBottom w:val="0"/>
      <w:divBdr>
        <w:top w:val="none" w:sz="0" w:space="0" w:color="auto"/>
        <w:left w:val="none" w:sz="0" w:space="0" w:color="auto"/>
        <w:bottom w:val="none" w:sz="0" w:space="0" w:color="auto"/>
        <w:right w:val="none" w:sz="0" w:space="0" w:color="auto"/>
      </w:divBdr>
    </w:div>
    <w:div w:id="376514005">
      <w:bodyDiv w:val="1"/>
      <w:marLeft w:val="0"/>
      <w:marRight w:val="0"/>
      <w:marTop w:val="0"/>
      <w:marBottom w:val="0"/>
      <w:divBdr>
        <w:top w:val="none" w:sz="0" w:space="0" w:color="auto"/>
        <w:left w:val="none" w:sz="0" w:space="0" w:color="auto"/>
        <w:bottom w:val="none" w:sz="0" w:space="0" w:color="auto"/>
        <w:right w:val="none" w:sz="0" w:space="0" w:color="auto"/>
      </w:divBdr>
    </w:div>
    <w:div w:id="378208335">
      <w:bodyDiv w:val="1"/>
      <w:marLeft w:val="0"/>
      <w:marRight w:val="0"/>
      <w:marTop w:val="0"/>
      <w:marBottom w:val="0"/>
      <w:divBdr>
        <w:top w:val="none" w:sz="0" w:space="0" w:color="auto"/>
        <w:left w:val="none" w:sz="0" w:space="0" w:color="auto"/>
        <w:bottom w:val="none" w:sz="0" w:space="0" w:color="auto"/>
        <w:right w:val="none" w:sz="0" w:space="0" w:color="auto"/>
      </w:divBdr>
    </w:div>
    <w:div w:id="381251912">
      <w:bodyDiv w:val="1"/>
      <w:marLeft w:val="0"/>
      <w:marRight w:val="0"/>
      <w:marTop w:val="0"/>
      <w:marBottom w:val="0"/>
      <w:divBdr>
        <w:top w:val="none" w:sz="0" w:space="0" w:color="auto"/>
        <w:left w:val="none" w:sz="0" w:space="0" w:color="auto"/>
        <w:bottom w:val="none" w:sz="0" w:space="0" w:color="auto"/>
        <w:right w:val="none" w:sz="0" w:space="0" w:color="auto"/>
      </w:divBdr>
    </w:div>
    <w:div w:id="399522116">
      <w:bodyDiv w:val="1"/>
      <w:marLeft w:val="0"/>
      <w:marRight w:val="0"/>
      <w:marTop w:val="0"/>
      <w:marBottom w:val="0"/>
      <w:divBdr>
        <w:top w:val="none" w:sz="0" w:space="0" w:color="auto"/>
        <w:left w:val="none" w:sz="0" w:space="0" w:color="auto"/>
        <w:bottom w:val="none" w:sz="0" w:space="0" w:color="auto"/>
        <w:right w:val="none" w:sz="0" w:space="0" w:color="auto"/>
      </w:divBdr>
    </w:div>
    <w:div w:id="406810115">
      <w:bodyDiv w:val="1"/>
      <w:marLeft w:val="0"/>
      <w:marRight w:val="0"/>
      <w:marTop w:val="0"/>
      <w:marBottom w:val="0"/>
      <w:divBdr>
        <w:top w:val="none" w:sz="0" w:space="0" w:color="auto"/>
        <w:left w:val="none" w:sz="0" w:space="0" w:color="auto"/>
        <w:bottom w:val="none" w:sz="0" w:space="0" w:color="auto"/>
        <w:right w:val="none" w:sz="0" w:space="0" w:color="auto"/>
      </w:divBdr>
    </w:div>
    <w:div w:id="411588069">
      <w:bodyDiv w:val="1"/>
      <w:marLeft w:val="0"/>
      <w:marRight w:val="0"/>
      <w:marTop w:val="0"/>
      <w:marBottom w:val="0"/>
      <w:divBdr>
        <w:top w:val="none" w:sz="0" w:space="0" w:color="auto"/>
        <w:left w:val="none" w:sz="0" w:space="0" w:color="auto"/>
        <w:bottom w:val="none" w:sz="0" w:space="0" w:color="auto"/>
        <w:right w:val="none" w:sz="0" w:space="0" w:color="auto"/>
      </w:divBdr>
    </w:div>
    <w:div w:id="412551437">
      <w:bodyDiv w:val="1"/>
      <w:marLeft w:val="0"/>
      <w:marRight w:val="0"/>
      <w:marTop w:val="0"/>
      <w:marBottom w:val="0"/>
      <w:divBdr>
        <w:top w:val="none" w:sz="0" w:space="0" w:color="auto"/>
        <w:left w:val="none" w:sz="0" w:space="0" w:color="auto"/>
        <w:bottom w:val="none" w:sz="0" w:space="0" w:color="auto"/>
        <w:right w:val="none" w:sz="0" w:space="0" w:color="auto"/>
      </w:divBdr>
    </w:div>
    <w:div w:id="416903123">
      <w:bodyDiv w:val="1"/>
      <w:marLeft w:val="0"/>
      <w:marRight w:val="0"/>
      <w:marTop w:val="0"/>
      <w:marBottom w:val="0"/>
      <w:divBdr>
        <w:top w:val="none" w:sz="0" w:space="0" w:color="auto"/>
        <w:left w:val="none" w:sz="0" w:space="0" w:color="auto"/>
        <w:bottom w:val="none" w:sz="0" w:space="0" w:color="auto"/>
        <w:right w:val="none" w:sz="0" w:space="0" w:color="auto"/>
      </w:divBdr>
    </w:div>
    <w:div w:id="428699042">
      <w:bodyDiv w:val="1"/>
      <w:marLeft w:val="0"/>
      <w:marRight w:val="0"/>
      <w:marTop w:val="0"/>
      <w:marBottom w:val="0"/>
      <w:divBdr>
        <w:top w:val="none" w:sz="0" w:space="0" w:color="auto"/>
        <w:left w:val="none" w:sz="0" w:space="0" w:color="auto"/>
        <w:bottom w:val="none" w:sz="0" w:space="0" w:color="auto"/>
        <w:right w:val="none" w:sz="0" w:space="0" w:color="auto"/>
      </w:divBdr>
    </w:div>
    <w:div w:id="442118011">
      <w:bodyDiv w:val="1"/>
      <w:marLeft w:val="0"/>
      <w:marRight w:val="0"/>
      <w:marTop w:val="0"/>
      <w:marBottom w:val="0"/>
      <w:divBdr>
        <w:top w:val="none" w:sz="0" w:space="0" w:color="auto"/>
        <w:left w:val="none" w:sz="0" w:space="0" w:color="auto"/>
        <w:bottom w:val="none" w:sz="0" w:space="0" w:color="auto"/>
        <w:right w:val="none" w:sz="0" w:space="0" w:color="auto"/>
      </w:divBdr>
    </w:div>
    <w:div w:id="449320321">
      <w:bodyDiv w:val="1"/>
      <w:marLeft w:val="0"/>
      <w:marRight w:val="0"/>
      <w:marTop w:val="0"/>
      <w:marBottom w:val="0"/>
      <w:divBdr>
        <w:top w:val="none" w:sz="0" w:space="0" w:color="auto"/>
        <w:left w:val="none" w:sz="0" w:space="0" w:color="auto"/>
        <w:bottom w:val="none" w:sz="0" w:space="0" w:color="auto"/>
        <w:right w:val="none" w:sz="0" w:space="0" w:color="auto"/>
      </w:divBdr>
    </w:div>
    <w:div w:id="463230314">
      <w:bodyDiv w:val="1"/>
      <w:marLeft w:val="0"/>
      <w:marRight w:val="0"/>
      <w:marTop w:val="0"/>
      <w:marBottom w:val="0"/>
      <w:divBdr>
        <w:top w:val="none" w:sz="0" w:space="0" w:color="auto"/>
        <w:left w:val="none" w:sz="0" w:space="0" w:color="auto"/>
        <w:bottom w:val="none" w:sz="0" w:space="0" w:color="auto"/>
        <w:right w:val="none" w:sz="0" w:space="0" w:color="auto"/>
      </w:divBdr>
    </w:div>
    <w:div w:id="482157612">
      <w:bodyDiv w:val="1"/>
      <w:marLeft w:val="0"/>
      <w:marRight w:val="0"/>
      <w:marTop w:val="0"/>
      <w:marBottom w:val="0"/>
      <w:divBdr>
        <w:top w:val="none" w:sz="0" w:space="0" w:color="auto"/>
        <w:left w:val="none" w:sz="0" w:space="0" w:color="auto"/>
        <w:bottom w:val="none" w:sz="0" w:space="0" w:color="auto"/>
        <w:right w:val="none" w:sz="0" w:space="0" w:color="auto"/>
      </w:divBdr>
    </w:div>
    <w:div w:id="496965030">
      <w:bodyDiv w:val="1"/>
      <w:marLeft w:val="0"/>
      <w:marRight w:val="0"/>
      <w:marTop w:val="0"/>
      <w:marBottom w:val="0"/>
      <w:divBdr>
        <w:top w:val="none" w:sz="0" w:space="0" w:color="auto"/>
        <w:left w:val="none" w:sz="0" w:space="0" w:color="auto"/>
        <w:bottom w:val="none" w:sz="0" w:space="0" w:color="auto"/>
        <w:right w:val="none" w:sz="0" w:space="0" w:color="auto"/>
      </w:divBdr>
    </w:div>
    <w:div w:id="503477738">
      <w:bodyDiv w:val="1"/>
      <w:marLeft w:val="0"/>
      <w:marRight w:val="0"/>
      <w:marTop w:val="0"/>
      <w:marBottom w:val="0"/>
      <w:divBdr>
        <w:top w:val="none" w:sz="0" w:space="0" w:color="auto"/>
        <w:left w:val="none" w:sz="0" w:space="0" w:color="auto"/>
        <w:bottom w:val="none" w:sz="0" w:space="0" w:color="auto"/>
        <w:right w:val="none" w:sz="0" w:space="0" w:color="auto"/>
      </w:divBdr>
    </w:div>
    <w:div w:id="504244840">
      <w:bodyDiv w:val="1"/>
      <w:marLeft w:val="0"/>
      <w:marRight w:val="0"/>
      <w:marTop w:val="0"/>
      <w:marBottom w:val="0"/>
      <w:divBdr>
        <w:top w:val="none" w:sz="0" w:space="0" w:color="auto"/>
        <w:left w:val="none" w:sz="0" w:space="0" w:color="auto"/>
        <w:bottom w:val="none" w:sz="0" w:space="0" w:color="auto"/>
        <w:right w:val="none" w:sz="0" w:space="0" w:color="auto"/>
      </w:divBdr>
    </w:div>
    <w:div w:id="541090329">
      <w:bodyDiv w:val="1"/>
      <w:marLeft w:val="0"/>
      <w:marRight w:val="0"/>
      <w:marTop w:val="0"/>
      <w:marBottom w:val="0"/>
      <w:divBdr>
        <w:top w:val="none" w:sz="0" w:space="0" w:color="auto"/>
        <w:left w:val="none" w:sz="0" w:space="0" w:color="auto"/>
        <w:bottom w:val="none" w:sz="0" w:space="0" w:color="auto"/>
        <w:right w:val="none" w:sz="0" w:space="0" w:color="auto"/>
      </w:divBdr>
    </w:div>
    <w:div w:id="684671915">
      <w:bodyDiv w:val="1"/>
      <w:marLeft w:val="0"/>
      <w:marRight w:val="0"/>
      <w:marTop w:val="0"/>
      <w:marBottom w:val="0"/>
      <w:divBdr>
        <w:top w:val="none" w:sz="0" w:space="0" w:color="auto"/>
        <w:left w:val="none" w:sz="0" w:space="0" w:color="auto"/>
        <w:bottom w:val="none" w:sz="0" w:space="0" w:color="auto"/>
        <w:right w:val="none" w:sz="0" w:space="0" w:color="auto"/>
      </w:divBdr>
    </w:div>
    <w:div w:id="708919882">
      <w:bodyDiv w:val="1"/>
      <w:marLeft w:val="0"/>
      <w:marRight w:val="0"/>
      <w:marTop w:val="0"/>
      <w:marBottom w:val="0"/>
      <w:divBdr>
        <w:top w:val="none" w:sz="0" w:space="0" w:color="auto"/>
        <w:left w:val="none" w:sz="0" w:space="0" w:color="auto"/>
        <w:bottom w:val="none" w:sz="0" w:space="0" w:color="auto"/>
        <w:right w:val="none" w:sz="0" w:space="0" w:color="auto"/>
      </w:divBdr>
    </w:div>
    <w:div w:id="709109443">
      <w:bodyDiv w:val="1"/>
      <w:marLeft w:val="0"/>
      <w:marRight w:val="0"/>
      <w:marTop w:val="0"/>
      <w:marBottom w:val="0"/>
      <w:divBdr>
        <w:top w:val="none" w:sz="0" w:space="0" w:color="auto"/>
        <w:left w:val="none" w:sz="0" w:space="0" w:color="auto"/>
        <w:bottom w:val="none" w:sz="0" w:space="0" w:color="auto"/>
        <w:right w:val="none" w:sz="0" w:space="0" w:color="auto"/>
      </w:divBdr>
    </w:div>
    <w:div w:id="767654699">
      <w:bodyDiv w:val="1"/>
      <w:marLeft w:val="0"/>
      <w:marRight w:val="0"/>
      <w:marTop w:val="0"/>
      <w:marBottom w:val="0"/>
      <w:divBdr>
        <w:top w:val="none" w:sz="0" w:space="0" w:color="auto"/>
        <w:left w:val="none" w:sz="0" w:space="0" w:color="auto"/>
        <w:bottom w:val="none" w:sz="0" w:space="0" w:color="auto"/>
        <w:right w:val="none" w:sz="0" w:space="0" w:color="auto"/>
      </w:divBdr>
    </w:div>
    <w:div w:id="793713183">
      <w:bodyDiv w:val="1"/>
      <w:marLeft w:val="0"/>
      <w:marRight w:val="0"/>
      <w:marTop w:val="0"/>
      <w:marBottom w:val="0"/>
      <w:divBdr>
        <w:top w:val="none" w:sz="0" w:space="0" w:color="auto"/>
        <w:left w:val="none" w:sz="0" w:space="0" w:color="auto"/>
        <w:bottom w:val="none" w:sz="0" w:space="0" w:color="auto"/>
        <w:right w:val="none" w:sz="0" w:space="0" w:color="auto"/>
      </w:divBdr>
    </w:div>
    <w:div w:id="814831230">
      <w:bodyDiv w:val="1"/>
      <w:marLeft w:val="0"/>
      <w:marRight w:val="0"/>
      <w:marTop w:val="0"/>
      <w:marBottom w:val="0"/>
      <w:divBdr>
        <w:top w:val="none" w:sz="0" w:space="0" w:color="auto"/>
        <w:left w:val="none" w:sz="0" w:space="0" w:color="auto"/>
        <w:bottom w:val="none" w:sz="0" w:space="0" w:color="auto"/>
        <w:right w:val="none" w:sz="0" w:space="0" w:color="auto"/>
      </w:divBdr>
    </w:div>
    <w:div w:id="850219286">
      <w:bodyDiv w:val="1"/>
      <w:marLeft w:val="0"/>
      <w:marRight w:val="0"/>
      <w:marTop w:val="0"/>
      <w:marBottom w:val="0"/>
      <w:divBdr>
        <w:top w:val="none" w:sz="0" w:space="0" w:color="auto"/>
        <w:left w:val="none" w:sz="0" w:space="0" w:color="auto"/>
        <w:bottom w:val="none" w:sz="0" w:space="0" w:color="auto"/>
        <w:right w:val="none" w:sz="0" w:space="0" w:color="auto"/>
      </w:divBdr>
    </w:div>
    <w:div w:id="850414981">
      <w:bodyDiv w:val="1"/>
      <w:marLeft w:val="0"/>
      <w:marRight w:val="0"/>
      <w:marTop w:val="0"/>
      <w:marBottom w:val="0"/>
      <w:divBdr>
        <w:top w:val="none" w:sz="0" w:space="0" w:color="auto"/>
        <w:left w:val="none" w:sz="0" w:space="0" w:color="auto"/>
        <w:bottom w:val="none" w:sz="0" w:space="0" w:color="auto"/>
        <w:right w:val="none" w:sz="0" w:space="0" w:color="auto"/>
      </w:divBdr>
    </w:div>
    <w:div w:id="857081855">
      <w:bodyDiv w:val="1"/>
      <w:marLeft w:val="0"/>
      <w:marRight w:val="0"/>
      <w:marTop w:val="0"/>
      <w:marBottom w:val="0"/>
      <w:divBdr>
        <w:top w:val="none" w:sz="0" w:space="0" w:color="auto"/>
        <w:left w:val="none" w:sz="0" w:space="0" w:color="auto"/>
        <w:bottom w:val="none" w:sz="0" w:space="0" w:color="auto"/>
        <w:right w:val="none" w:sz="0" w:space="0" w:color="auto"/>
      </w:divBdr>
    </w:div>
    <w:div w:id="857277391">
      <w:bodyDiv w:val="1"/>
      <w:marLeft w:val="0"/>
      <w:marRight w:val="0"/>
      <w:marTop w:val="0"/>
      <w:marBottom w:val="0"/>
      <w:divBdr>
        <w:top w:val="none" w:sz="0" w:space="0" w:color="auto"/>
        <w:left w:val="none" w:sz="0" w:space="0" w:color="auto"/>
        <w:bottom w:val="none" w:sz="0" w:space="0" w:color="auto"/>
        <w:right w:val="none" w:sz="0" w:space="0" w:color="auto"/>
      </w:divBdr>
    </w:div>
    <w:div w:id="924532660">
      <w:bodyDiv w:val="1"/>
      <w:marLeft w:val="0"/>
      <w:marRight w:val="0"/>
      <w:marTop w:val="0"/>
      <w:marBottom w:val="0"/>
      <w:divBdr>
        <w:top w:val="none" w:sz="0" w:space="0" w:color="auto"/>
        <w:left w:val="none" w:sz="0" w:space="0" w:color="auto"/>
        <w:bottom w:val="none" w:sz="0" w:space="0" w:color="auto"/>
        <w:right w:val="none" w:sz="0" w:space="0" w:color="auto"/>
      </w:divBdr>
    </w:div>
    <w:div w:id="937565580">
      <w:bodyDiv w:val="1"/>
      <w:marLeft w:val="0"/>
      <w:marRight w:val="0"/>
      <w:marTop w:val="0"/>
      <w:marBottom w:val="0"/>
      <w:divBdr>
        <w:top w:val="none" w:sz="0" w:space="0" w:color="auto"/>
        <w:left w:val="none" w:sz="0" w:space="0" w:color="auto"/>
        <w:bottom w:val="none" w:sz="0" w:space="0" w:color="auto"/>
        <w:right w:val="none" w:sz="0" w:space="0" w:color="auto"/>
      </w:divBdr>
    </w:div>
    <w:div w:id="989166903">
      <w:bodyDiv w:val="1"/>
      <w:marLeft w:val="0"/>
      <w:marRight w:val="0"/>
      <w:marTop w:val="0"/>
      <w:marBottom w:val="0"/>
      <w:divBdr>
        <w:top w:val="none" w:sz="0" w:space="0" w:color="auto"/>
        <w:left w:val="none" w:sz="0" w:space="0" w:color="auto"/>
        <w:bottom w:val="none" w:sz="0" w:space="0" w:color="auto"/>
        <w:right w:val="none" w:sz="0" w:space="0" w:color="auto"/>
      </w:divBdr>
    </w:div>
    <w:div w:id="997340598">
      <w:bodyDiv w:val="1"/>
      <w:marLeft w:val="0"/>
      <w:marRight w:val="0"/>
      <w:marTop w:val="0"/>
      <w:marBottom w:val="0"/>
      <w:divBdr>
        <w:top w:val="none" w:sz="0" w:space="0" w:color="auto"/>
        <w:left w:val="none" w:sz="0" w:space="0" w:color="auto"/>
        <w:bottom w:val="none" w:sz="0" w:space="0" w:color="auto"/>
        <w:right w:val="none" w:sz="0" w:space="0" w:color="auto"/>
      </w:divBdr>
    </w:div>
    <w:div w:id="1013918201">
      <w:bodyDiv w:val="1"/>
      <w:marLeft w:val="0"/>
      <w:marRight w:val="0"/>
      <w:marTop w:val="0"/>
      <w:marBottom w:val="0"/>
      <w:divBdr>
        <w:top w:val="none" w:sz="0" w:space="0" w:color="auto"/>
        <w:left w:val="none" w:sz="0" w:space="0" w:color="auto"/>
        <w:bottom w:val="none" w:sz="0" w:space="0" w:color="auto"/>
        <w:right w:val="none" w:sz="0" w:space="0" w:color="auto"/>
      </w:divBdr>
    </w:div>
    <w:div w:id="1023245723">
      <w:bodyDiv w:val="1"/>
      <w:marLeft w:val="0"/>
      <w:marRight w:val="0"/>
      <w:marTop w:val="0"/>
      <w:marBottom w:val="0"/>
      <w:divBdr>
        <w:top w:val="none" w:sz="0" w:space="0" w:color="auto"/>
        <w:left w:val="none" w:sz="0" w:space="0" w:color="auto"/>
        <w:bottom w:val="none" w:sz="0" w:space="0" w:color="auto"/>
        <w:right w:val="none" w:sz="0" w:space="0" w:color="auto"/>
      </w:divBdr>
    </w:div>
    <w:div w:id="1044214686">
      <w:bodyDiv w:val="1"/>
      <w:marLeft w:val="0"/>
      <w:marRight w:val="0"/>
      <w:marTop w:val="0"/>
      <w:marBottom w:val="0"/>
      <w:divBdr>
        <w:top w:val="none" w:sz="0" w:space="0" w:color="auto"/>
        <w:left w:val="none" w:sz="0" w:space="0" w:color="auto"/>
        <w:bottom w:val="none" w:sz="0" w:space="0" w:color="auto"/>
        <w:right w:val="none" w:sz="0" w:space="0" w:color="auto"/>
      </w:divBdr>
    </w:div>
    <w:div w:id="1102989867">
      <w:bodyDiv w:val="1"/>
      <w:marLeft w:val="0"/>
      <w:marRight w:val="0"/>
      <w:marTop w:val="0"/>
      <w:marBottom w:val="0"/>
      <w:divBdr>
        <w:top w:val="none" w:sz="0" w:space="0" w:color="auto"/>
        <w:left w:val="none" w:sz="0" w:space="0" w:color="auto"/>
        <w:bottom w:val="none" w:sz="0" w:space="0" w:color="auto"/>
        <w:right w:val="none" w:sz="0" w:space="0" w:color="auto"/>
      </w:divBdr>
    </w:div>
    <w:div w:id="1107776840">
      <w:bodyDiv w:val="1"/>
      <w:marLeft w:val="0"/>
      <w:marRight w:val="0"/>
      <w:marTop w:val="0"/>
      <w:marBottom w:val="0"/>
      <w:divBdr>
        <w:top w:val="none" w:sz="0" w:space="0" w:color="auto"/>
        <w:left w:val="none" w:sz="0" w:space="0" w:color="auto"/>
        <w:bottom w:val="none" w:sz="0" w:space="0" w:color="auto"/>
        <w:right w:val="none" w:sz="0" w:space="0" w:color="auto"/>
      </w:divBdr>
    </w:div>
    <w:div w:id="1120415357">
      <w:bodyDiv w:val="1"/>
      <w:marLeft w:val="0"/>
      <w:marRight w:val="0"/>
      <w:marTop w:val="0"/>
      <w:marBottom w:val="0"/>
      <w:divBdr>
        <w:top w:val="none" w:sz="0" w:space="0" w:color="auto"/>
        <w:left w:val="none" w:sz="0" w:space="0" w:color="auto"/>
        <w:bottom w:val="none" w:sz="0" w:space="0" w:color="auto"/>
        <w:right w:val="none" w:sz="0" w:space="0" w:color="auto"/>
      </w:divBdr>
    </w:div>
    <w:div w:id="1139954733">
      <w:bodyDiv w:val="1"/>
      <w:marLeft w:val="0"/>
      <w:marRight w:val="0"/>
      <w:marTop w:val="0"/>
      <w:marBottom w:val="0"/>
      <w:divBdr>
        <w:top w:val="none" w:sz="0" w:space="0" w:color="auto"/>
        <w:left w:val="none" w:sz="0" w:space="0" w:color="auto"/>
        <w:bottom w:val="none" w:sz="0" w:space="0" w:color="auto"/>
        <w:right w:val="none" w:sz="0" w:space="0" w:color="auto"/>
      </w:divBdr>
    </w:div>
    <w:div w:id="1174608121">
      <w:bodyDiv w:val="1"/>
      <w:marLeft w:val="0"/>
      <w:marRight w:val="0"/>
      <w:marTop w:val="0"/>
      <w:marBottom w:val="0"/>
      <w:divBdr>
        <w:top w:val="none" w:sz="0" w:space="0" w:color="auto"/>
        <w:left w:val="none" w:sz="0" w:space="0" w:color="auto"/>
        <w:bottom w:val="none" w:sz="0" w:space="0" w:color="auto"/>
        <w:right w:val="none" w:sz="0" w:space="0" w:color="auto"/>
      </w:divBdr>
    </w:div>
    <w:div w:id="1182816477">
      <w:bodyDiv w:val="1"/>
      <w:marLeft w:val="0"/>
      <w:marRight w:val="0"/>
      <w:marTop w:val="0"/>
      <w:marBottom w:val="0"/>
      <w:divBdr>
        <w:top w:val="none" w:sz="0" w:space="0" w:color="auto"/>
        <w:left w:val="none" w:sz="0" w:space="0" w:color="auto"/>
        <w:bottom w:val="none" w:sz="0" w:space="0" w:color="auto"/>
        <w:right w:val="none" w:sz="0" w:space="0" w:color="auto"/>
      </w:divBdr>
    </w:div>
    <w:div w:id="1194422019">
      <w:bodyDiv w:val="1"/>
      <w:marLeft w:val="0"/>
      <w:marRight w:val="0"/>
      <w:marTop w:val="0"/>
      <w:marBottom w:val="0"/>
      <w:divBdr>
        <w:top w:val="none" w:sz="0" w:space="0" w:color="auto"/>
        <w:left w:val="none" w:sz="0" w:space="0" w:color="auto"/>
        <w:bottom w:val="none" w:sz="0" w:space="0" w:color="auto"/>
        <w:right w:val="none" w:sz="0" w:space="0" w:color="auto"/>
      </w:divBdr>
    </w:div>
    <w:div w:id="1210261412">
      <w:bodyDiv w:val="1"/>
      <w:marLeft w:val="0"/>
      <w:marRight w:val="0"/>
      <w:marTop w:val="0"/>
      <w:marBottom w:val="0"/>
      <w:divBdr>
        <w:top w:val="none" w:sz="0" w:space="0" w:color="auto"/>
        <w:left w:val="none" w:sz="0" w:space="0" w:color="auto"/>
        <w:bottom w:val="none" w:sz="0" w:space="0" w:color="auto"/>
        <w:right w:val="none" w:sz="0" w:space="0" w:color="auto"/>
      </w:divBdr>
    </w:div>
    <w:div w:id="1218248847">
      <w:bodyDiv w:val="1"/>
      <w:marLeft w:val="0"/>
      <w:marRight w:val="0"/>
      <w:marTop w:val="0"/>
      <w:marBottom w:val="0"/>
      <w:divBdr>
        <w:top w:val="none" w:sz="0" w:space="0" w:color="auto"/>
        <w:left w:val="none" w:sz="0" w:space="0" w:color="auto"/>
        <w:bottom w:val="none" w:sz="0" w:space="0" w:color="auto"/>
        <w:right w:val="none" w:sz="0" w:space="0" w:color="auto"/>
      </w:divBdr>
    </w:div>
    <w:div w:id="1236210271">
      <w:bodyDiv w:val="1"/>
      <w:marLeft w:val="0"/>
      <w:marRight w:val="0"/>
      <w:marTop w:val="0"/>
      <w:marBottom w:val="0"/>
      <w:divBdr>
        <w:top w:val="none" w:sz="0" w:space="0" w:color="auto"/>
        <w:left w:val="none" w:sz="0" w:space="0" w:color="auto"/>
        <w:bottom w:val="none" w:sz="0" w:space="0" w:color="auto"/>
        <w:right w:val="none" w:sz="0" w:space="0" w:color="auto"/>
      </w:divBdr>
    </w:div>
    <w:div w:id="1239290701">
      <w:bodyDiv w:val="1"/>
      <w:marLeft w:val="0"/>
      <w:marRight w:val="0"/>
      <w:marTop w:val="0"/>
      <w:marBottom w:val="0"/>
      <w:divBdr>
        <w:top w:val="none" w:sz="0" w:space="0" w:color="auto"/>
        <w:left w:val="none" w:sz="0" w:space="0" w:color="auto"/>
        <w:bottom w:val="none" w:sz="0" w:space="0" w:color="auto"/>
        <w:right w:val="none" w:sz="0" w:space="0" w:color="auto"/>
      </w:divBdr>
    </w:div>
    <w:div w:id="1259874610">
      <w:bodyDiv w:val="1"/>
      <w:marLeft w:val="0"/>
      <w:marRight w:val="0"/>
      <w:marTop w:val="0"/>
      <w:marBottom w:val="0"/>
      <w:divBdr>
        <w:top w:val="none" w:sz="0" w:space="0" w:color="auto"/>
        <w:left w:val="none" w:sz="0" w:space="0" w:color="auto"/>
        <w:bottom w:val="none" w:sz="0" w:space="0" w:color="auto"/>
        <w:right w:val="none" w:sz="0" w:space="0" w:color="auto"/>
      </w:divBdr>
    </w:div>
    <w:div w:id="1283030515">
      <w:bodyDiv w:val="1"/>
      <w:marLeft w:val="0"/>
      <w:marRight w:val="0"/>
      <w:marTop w:val="0"/>
      <w:marBottom w:val="0"/>
      <w:divBdr>
        <w:top w:val="none" w:sz="0" w:space="0" w:color="auto"/>
        <w:left w:val="none" w:sz="0" w:space="0" w:color="auto"/>
        <w:bottom w:val="none" w:sz="0" w:space="0" w:color="auto"/>
        <w:right w:val="none" w:sz="0" w:space="0" w:color="auto"/>
      </w:divBdr>
    </w:div>
    <w:div w:id="1311903081">
      <w:bodyDiv w:val="1"/>
      <w:marLeft w:val="0"/>
      <w:marRight w:val="0"/>
      <w:marTop w:val="0"/>
      <w:marBottom w:val="0"/>
      <w:divBdr>
        <w:top w:val="none" w:sz="0" w:space="0" w:color="auto"/>
        <w:left w:val="none" w:sz="0" w:space="0" w:color="auto"/>
        <w:bottom w:val="none" w:sz="0" w:space="0" w:color="auto"/>
        <w:right w:val="none" w:sz="0" w:space="0" w:color="auto"/>
      </w:divBdr>
    </w:div>
    <w:div w:id="1319772580">
      <w:bodyDiv w:val="1"/>
      <w:marLeft w:val="0"/>
      <w:marRight w:val="0"/>
      <w:marTop w:val="0"/>
      <w:marBottom w:val="0"/>
      <w:divBdr>
        <w:top w:val="none" w:sz="0" w:space="0" w:color="auto"/>
        <w:left w:val="none" w:sz="0" w:space="0" w:color="auto"/>
        <w:bottom w:val="none" w:sz="0" w:space="0" w:color="auto"/>
        <w:right w:val="none" w:sz="0" w:space="0" w:color="auto"/>
      </w:divBdr>
    </w:div>
    <w:div w:id="1344822853">
      <w:bodyDiv w:val="1"/>
      <w:marLeft w:val="0"/>
      <w:marRight w:val="0"/>
      <w:marTop w:val="0"/>
      <w:marBottom w:val="0"/>
      <w:divBdr>
        <w:top w:val="none" w:sz="0" w:space="0" w:color="auto"/>
        <w:left w:val="none" w:sz="0" w:space="0" w:color="auto"/>
        <w:bottom w:val="none" w:sz="0" w:space="0" w:color="auto"/>
        <w:right w:val="none" w:sz="0" w:space="0" w:color="auto"/>
      </w:divBdr>
    </w:div>
    <w:div w:id="1347639066">
      <w:bodyDiv w:val="1"/>
      <w:marLeft w:val="0"/>
      <w:marRight w:val="0"/>
      <w:marTop w:val="0"/>
      <w:marBottom w:val="0"/>
      <w:divBdr>
        <w:top w:val="none" w:sz="0" w:space="0" w:color="auto"/>
        <w:left w:val="none" w:sz="0" w:space="0" w:color="auto"/>
        <w:bottom w:val="none" w:sz="0" w:space="0" w:color="auto"/>
        <w:right w:val="none" w:sz="0" w:space="0" w:color="auto"/>
      </w:divBdr>
    </w:div>
    <w:div w:id="1402950941">
      <w:bodyDiv w:val="1"/>
      <w:marLeft w:val="0"/>
      <w:marRight w:val="0"/>
      <w:marTop w:val="0"/>
      <w:marBottom w:val="0"/>
      <w:divBdr>
        <w:top w:val="none" w:sz="0" w:space="0" w:color="auto"/>
        <w:left w:val="none" w:sz="0" w:space="0" w:color="auto"/>
        <w:bottom w:val="none" w:sz="0" w:space="0" w:color="auto"/>
        <w:right w:val="none" w:sz="0" w:space="0" w:color="auto"/>
      </w:divBdr>
    </w:div>
    <w:div w:id="1408191264">
      <w:bodyDiv w:val="1"/>
      <w:marLeft w:val="0"/>
      <w:marRight w:val="0"/>
      <w:marTop w:val="0"/>
      <w:marBottom w:val="0"/>
      <w:divBdr>
        <w:top w:val="none" w:sz="0" w:space="0" w:color="auto"/>
        <w:left w:val="none" w:sz="0" w:space="0" w:color="auto"/>
        <w:bottom w:val="none" w:sz="0" w:space="0" w:color="auto"/>
        <w:right w:val="none" w:sz="0" w:space="0" w:color="auto"/>
      </w:divBdr>
    </w:div>
    <w:div w:id="1442408234">
      <w:bodyDiv w:val="1"/>
      <w:marLeft w:val="0"/>
      <w:marRight w:val="0"/>
      <w:marTop w:val="0"/>
      <w:marBottom w:val="0"/>
      <w:divBdr>
        <w:top w:val="none" w:sz="0" w:space="0" w:color="auto"/>
        <w:left w:val="none" w:sz="0" w:space="0" w:color="auto"/>
        <w:bottom w:val="none" w:sz="0" w:space="0" w:color="auto"/>
        <w:right w:val="none" w:sz="0" w:space="0" w:color="auto"/>
      </w:divBdr>
    </w:div>
    <w:div w:id="1497113621">
      <w:bodyDiv w:val="1"/>
      <w:marLeft w:val="0"/>
      <w:marRight w:val="0"/>
      <w:marTop w:val="0"/>
      <w:marBottom w:val="0"/>
      <w:divBdr>
        <w:top w:val="none" w:sz="0" w:space="0" w:color="auto"/>
        <w:left w:val="none" w:sz="0" w:space="0" w:color="auto"/>
        <w:bottom w:val="none" w:sz="0" w:space="0" w:color="auto"/>
        <w:right w:val="none" w:sz="0" w:space="0" w:color="auto"/>
      </w:divBdr>
    </w:div>
    <w:div w:id="1504009758">
      <w:bodyDiv w:val="1"/>
      <w:marLeft w:val="0"/>
      <w:marRight w:val="0"/>
      <w:marTop w:val="0"/>
      <w:marBottom w:val="0"/>
      <w:divBdr>
        <w:top w:val="none" w:sz="0" w:space="0" w:color="auto"/>
        <w:left w:val="none" w:sz="0" w:space="0" w:color="auto"/>
        <w:bottom w:val="none" w:sz="0" w:space="0" w:color="auto"/>
        <w:right w:val="none" w:sz="0" w:space="0" w:color="auto"/>
      </w:divBdr>
    </w:div>
    <w:div w:id="1511916079">
      <w:bodyDiv w:val="1"/>
      <w:marLeft w:val="0"/>
      <w:marRight w:val="0"/>
      <w:marTop w:val="0"/>
      <w:marBottom w:val="0"/>
      <w:divBdr>
        <w:top w:val="none" w:sz="0" w:space="0" w:color="auto"/>
        <w:left w:val="none" w:sz="0" w:space="0" w:color="auto"/>
        <w:bottom w:val="none" w:sz="0" w:space="0" w:color="auto"/>
        <w:right w:val="none" w:sz="0" w:space="0" w:color="auto"/>
      </w:divBdr>
    </w:div>
    <w:div w:id="1574269858">
      <w:bodyDiv w:val="1"/>
      <w:marLeft w:val="0"/>
      <w:marRight w:val="0"/>
      <w:marTop w:val="0"/>
      <w:marBottom w:val="0"/>
      <w:divBdr>
        <w:top w:val="none" w:sz="0" w:space="0" w:color="auto"/>
        <w:left w:val="none" w:sz="0" w:space="0" w:color="auto"/>
        <w:bottom w:val="none" w:sz="0" w:space="0" w:color="auto"/>
        <w:right w:val="none" w:sz="0" w:space="0" w:color="auto"/>
      </w:divBdr>
    </w:div>
    <w:div w:id="1579972950">
      <w:bodyDiv w:val="1"/>
      <w:marLeft w:val="0"/>
      <w:marRight w:val="0"/>
      <w:marTop w:val="0"/>
      <w:marBottom w:val="0"/>
      <w:divBdr>
        <w:top w:val="none" w:sz="0" w:space="0" w:color="auto"/>
        <w:left w:val="none" w:sz="0" w:space="0" w:color="auto"/>
        <w:bottom w:val="none" w:sz="0" w:space="0" w:color="auto"/>
        <w:right w:val="none" w:sz="0" w:space="0" w:color="auto"/>
      </w:divBdr>
    </w:div>
    <w:div w:id="1609502269">
      <w:bodyDiv w:val="1"/>
      <w:marLeft w:val="0"/>
      <w:marRight w:val="0"/>
      <w:marTop w:val="0"/>
      <w:marBottom w:val="0"/>
      <w:divBdr>
        <w:top w:val="none" w:sz="0" w:space="0" w:color="auto"/>
        <w:left w:val="none" w:sz="0" w:space="0" w:color="auto"/>
        <w:bottom w:val="none" w:sz="0" w:space="0" w:color="auto"/>
        <w:right w:val="none" w:sz="0" w:space="0" w:color="auto"/>
      </w:divBdr>
    </w:div>
    <w:div w:id="1621761944">
      <w:bodyDiv w:val="1"/>
      <w:marLeft w:val="0"/>
      <w:marRight w:val="0"/>
      <w:marTop w:val="0"/>
      <w:marBottom w:val="0"/>
      <w:divBdr>
        <w:top w:val="none" w:sz="0" w:space="0" w:color="auto"/>
        <w:left w:val="none" w:sz="0" w:space="0" w:color="auto"/>
        <w:bottom w:val="none" w:sz="0" w:space="0" w:color="auto"/>
        <w:right w:val="none" w:sz="0" w:space="0" w:color="auto"/>
      </w:divBdr>
    </w:div>
    <w:div w:id="1653829293">
      <w:bodyDiv w:val="1"/>
      <w:marLeft w:val="0"/>
      <w:marRight w:val="0"/>
      <w:marTop w:val="0"/>
      <w:marBottom w:val="0"/>
      <w:divBdr>
        <w:top w:val="none" w:sz="0" w:space="0" w:color="auto"/>
        <w:left w:val="none" w:sz="0" w:space="0" w:color="auto"/>
        <w:bottom w:val="none" w:sz="0" w:space="0" w:color="auto"/>
        <w:right w:val="none" w:sz="0" w:space="0" w:color="auto"/>
      </w:divBdr>
    </w:div>
    <w:div w:id="1684359491">
      <w:bodyDiv w:val="1"/>
      <w:marLeft w:val="0"/>
      <w:marRight w:val="0"/>
      <w:marTop w:val="0"/>
      <w:marBottom w:val="0"/>
      <w:divBdr>
        <w:top w:val="none" w:sz="0" w:space="0" w:color="auto"/>
        <w:left w:val="none" w:sz="0" w:space="0" w:color="auto"/>
        <w:bottom w:val="none" w:sz="0" w:space="0" w:color="auto"/>
        <w:right w:val="none" w:sz="0" w:space="0" w:color="auto"/>
      </w:divBdr>
    </w:div>
    <w:div w:id="1693725274">
      <w:bodyDiv w:val="1"/>
      <w:marLeft w:val="0"/>
      <w:marRight w:val="0"/>
      <w:marTop w:val="0"/>
      <w:marBottom w:val="0"/>
      <w:divBdr>
        <w:top w:val="none" w:sz="0" w:space="0" w:color="auto"/>
        <w:left w:val="none" w:sz="0" w:space="0" w:color="auto"/>
        <w:bottom w:val="none" w:sz="0" w:space="0" w:color="auto"/>
        <w:right w:val="none" w:sz="0" w:space="0" w:color="auto"/>
      </w:divBdr>
    </w:div>
    <w:div w:id="1727875817">
      <w:bodyDiv w:val="1"/>
      <w:marLeft w:val="0"/>
      <w:marRight w:val="0"/>
      <w:marTop w:val="0"/>
      <w:marBottom w:val="0"/>
      <w:divBdr>
        <w:top w:val="none" w:sz="0" w:space="0" w:color="auto"/>
        <w:left w:val="none" w:sz="0" w:space="0" w:color="auto"/>
        <w:bottom w:val="none" w:sz="0" w:space="0" w:color="auto"/>
        <w:right w:val="none" w:sz="0" w:space="0" w:color="auto"/>
      </w:divBdr>
    </w:div>
    <w:div w:id="1757165081">
      <w:bodyDiv w:val="1"/>
      <w:marLeft w:val="0"/>
      <w:marRight w:val="0"/>
      <w:marTop w:val="0"/>
      <w:marBottom w:val="0"/>
      <w:divBdr>
        <w:top w:val="none" w:sz="0" w:space="0" w:color="auto"/>
        <w:left w:val="none" w:sz="0" w:space="0" w:color="auto"/>
        <w:bottom w:val="none" w:sz="0" w:space="0" w:color="auto"/>
        <w:right w:val="none" w:sz="0" w:space="0" w:color="auto"/>
      </w:divBdr>
    </w:div>
    <w:div w:id="1771508760">
      <w:bodyDiv w:val="1"/>
      <w:marLeft w:val="0"/>
      <w:marRight w:val="0"/>
      <w:marTop w:val="0"/>
      <w:marBottom w:val="0"/>
      <w:divBdr>
        <w:top w:val="none" w:sz="0" w:space="0" w:color="auto"/>
        <w:left w:val="none" w:sz="0" w:space="0" w:color="auto"/>
        <w:bottom w:val="none" w:sz="0" w:space="0" w:color="auto"/>
        <w:right w:val="none" w:sz="0" w:space="0" w:color="auto"/>
      </w:divBdr>
    </w:div>
    <w:div w:id="1779256691">
      <w:bodyDiv w:val="1"/>
      <w:marLeft w:val="0"/>
      <w:marRight w:val="0"/>
      <w:marTop w:val="0"/>
      <w:marBottom w:val="0"/>
      <w:divBdr>
        <w:top w:val="none" w:sz="0" w:space="0" w:color="auto"/>
        <w:left w:val="none" w:sz="0" w:space="0" w:color="auto"/>
        <w:bottom w:val="none" w:sz="0" w:space="0" w:color="auto"/>
        <w:right w:val="none" w:sz="0" w:space="0" w:color="auto"/>
      </w:divBdr>
    </w:div>
    <w:div w:id="1805073211">
      <w:bodyDiv w:val="1"/>
      <w:marLeft w:val="0"/>
      <w:marRight w:val="0"/>
      <w:marTop w:val="0"/>
      <w:marBottom w:val="0"/>
      <w:divBdr>
        <w:top w:val="none" w:sz="0" w:space="0" w:color="auto"/>
        <w:left w:val="none" w:sz="0" w:space="0" w:color="auto"/>
        <w:bottom w:val="none" w:sz="0" w:space="0" w:color="auto"/>
        <w:right w:val="none" w:sz="0" w:space="0" w:color="auto"/>
      </w:divBdr>
    </w:div>
    <w:div w:id="1806316111">
      <w:bodyDiv w:val="1"/>
      <w:marLeft w:val="0"/>
      <w:marRight w:val="0"/>
      <w:marTop w:val="0"/>
      <w:marBottom w:val="0"/>
      <w:divBdr>
        <w:top w:val="none" w:sz="0" w:space="0" w:color="auto"/>
        <w:left w:val="none" w:sz="0" w:space="0" w:color="auto"/>
        <w:bottom w:val="none" w:sz="0" w:space="0" w:color="auto"/>
        <w:right w:val="none" w:sz="0" w:space="0" w:color="auto"/>
      </w:divBdr>
    </w:div>
    <w:div w:id="1813980926">
      <w:bodyDiv w:val="1"/>
      <w:marLeft w:val="0"/>
      <w:marRight w:val="0"/>
      <w:marTop w:val="0"/>
      <w:marBottom w:val="0"/>
      <w:divBdr>
        <w:top w:val="none" w:sz="0" w:space="0" w:color="auto"/>
        <w:left w:val="none" w:sz="0" w:space="0" w:color="auto"/>
        <w:bottom w:val="none" w:sz="0" w:space="0" w:color="auto"/>
        <w:right w:val="none" w:sz="0" w:space="0" w:color="auto"/>
      </w:divBdr>
    </w:div>
    <w:div w:id="1835025911">
      <w:bodyDiv w:val="1"/>
      <w:marLeft w:val="0"/>
      <w:marRight w:val="0"/>
      <w:marTop w:val="0"/>
      <w:marBottom w:val="0"/>
      <w:divBdr>
        <w:top w:val="none" w:sz="0" w:space="0" w:color="auto"/>
        <w:left w:val="none" w:sz="0" w:space="0" w:color="auto"/>
        <w:bottom w:val="none" w:sz="0" w:space="0" w:color="auto"/>
        <w:right w:val="none" w:sz="0" w:space="0" w:color="auto"/>
      </w:divBdr>
    </w:div>
    <w:div w:id="1853299142">
      <w:bodyDiv w:val="1"/>
      <w:marLeft w:val="0"/>
      <w:marRight w:val="0"/>
      <w:marTop w:val="0"/>
      <w:marBottom w:val="0"/>
      <w:divBdr>
        <w:top w:val="none" w:sz="0" w:space="0" w:color="auto"/>
        <w:left w:val="none" w:sz="0" w:space="0" w:color="auto"/>
        <w:bottom w:val="none" w:sz="0" w:space="0" w:color="auto"/>
        <w:right w:val="none" w:sz="0" w:space="0" w:color="auto"/>
      </w:divBdr>
    </w:div>
    <w:div w:id="1857579129">
      <w:bodyDiv w:val="1"/>
      <w:marLeft w:val="0"/>
      <w:marRight w:val="0"/>
      <w:marTop w:val="0"/>
      <w:marBottom w:val="0"/>
      <w:divBdr>
        <w:top w:val="none" w:sz="0" w:space="0" w:color="auto"/>
        <w:left w:val="none" w:sz="0" w:space="0" w:color="auto"/>
        <w:bottom w:val="none" w:sz="0" w:space="0" w:color="auto"/>
        <w:right w:val="none" w:sz="0" w:space="0" w:color="auto"/>
      </w:divBdr>
    </w:div>
    <w:div w:id="1865826276">
      <w:bodyDiv w:val="1"/>
      <w:marLeft w:val="0"/>
      <w:marRight w:val="0"/>
      <w:marTop w:val="0"/>
      <w:marBottom w:val="0"/>
      <w:divBdr>
        <w:top w:val="none" w:sz="0" w:space="0" w:color="auto"/>
        <w:left w:val="none" w:sz="0" w:space="0" w:color="auto"/>
        <w:bottom w:val="none" w:sz="0" w:space="0" w:color="auto"/>
        <w:right w:val="none" w:sz="0" w:space="0" w:color="auto"/>
      </w:divBdr>
    </w:div>
    <w:div w:id="1866946030">
      <w:bodyDiv w:val="1"/>
      <w:marLeft w:val="0"/>
      <w:marRight w:val="0"/>
      <w:marTop w:val="0"/>
      <w:marBottom w:val="0"/>
      <w:divBdr>
        <w:top w:val="none" w:sz="0" w:space="0" w:color="auto"/>
        <w:left w:val="none" w:sz="0" w:space="0" w:color="auto"/>
        <w:bottom w:val="none" w:sz="0" w:space="0" w:color="auto"/>
        <w:right w:val="none" w:sz="0" w:space="0" w:color="auto"/>
      </w:divBdr>
    </w:div>
    <w:div w:id="1878662933">
      <w:bodyDiv w:val="1"/>
      <w:marLeft w:val="0"/>
      <w:marRight w:val="0"/>
      <w:marTop w:val="0"/>
      <w:marBottom w:val="0"/>
      <w:divBdr>
        <w:top w:val="none" w:sz="0" w:space="0" w:color="auto"/>
        <w:left w:val="none" w:sz="0" w:space="0" w:color="auto"/>
        <w:bottom w:val="none" w:sz="0" w:space="0" w:color="auto"/>
        <w:right w:val="none" w:sz="0" w:space="0" w:color="auto"/>
      </w:divBdr>
    </w:div>
    <w:div w:id="1879272193">
      <w:bodyDiv w:val="1"/>
      <w:marLeft w:val="0"/>
      <w:marRight w:val="0"/>
      <w:marTop w:val="0"/>
      <w:marBottom w:val="0"/>
      <w:divBdr>
        <w:top w:val="none" w:sz="0" w:space="0" w:color="auto"/>
        <w:left w:val="none" w:sz="0" w:space="0" w:color="auto"/>
        <w:bottom w:val="none" w:sz="0" w:space="0" w:color="auto"/>
        <w:right w:val="none" w:sz="0" w:space="0" w:color="auto"/>
      </w:divBdr>
    </w:div>
    <w:div w:id="1891182351">
      <w:bodyDiv w:val="1"/>
      <w:marLeft w:val="0"/>
      <w:marRight w:val="0"/>
      <w:marTop w:val="0"/>
      <w:marBottom w:val="0"/>
      <w:divBdr>
        <w:top w:val="none" w:sz="0" w:space="0" w:color="auto"/>
        <w:left w:val="none" w:sz="0" w:space="0" w:color="auto"/>
        <w:bottom w:val="none" w:sz="0" w:space="0" w:color="auto"/>
        <w:right w:val="none" w:sz="0" w:space="0" w:color="auto"/>
      </w:divBdr>
    </w:div>
    <w:div w:id="1909421474">
      <w:bodyDiv w:val="1"/>
      <w:marLeft w:val="0"/>
      <w:marRight w:val="0"/>
      <w:marTop w:val="0"/>
      <w:marBottom w:val="0"/>
      <w:divBdr>
        <w:top w:val="none" w:sz="0" w:space="0" w:color="auto"/>
        <w:left w:val="none" w:sz="0" w:space="0" w:color="auto"/>
        <w:bottom w:val="none" w:sz="0" w:space="0" w:color="auto"/>
        <w:right w:val="none" w:sz="0" w:space="0" w:color="auto"/>
      </w:divBdr>
    </w:div>
    <w:div w:id="1938251890">
      <w:bodyDiv w:val="1"/>
      <w:marLeft w:val="0"/>
      <w:marRight w:val="0"/>
      <w:marTop w:val="0"/>
      <w:marBottom w:val="0"/>
      <w:divBdr>
        <w:top w:val="none" w:sz="0" w:space="0" w:color="auto"/>
        <w:left w:val="none" w:sz="0" w:space="0" w:color="auto"/>
        <w:bottom w:val="none" w:sz="0" w:space="0" w:color="auto"/>
        <w:right w:val="none" w:sz="0" w:space="0" w:color="auto"/>
      </w:divBdr>
    </w:div>
    <w:div w:id="1979992891">
      <w:bodyDiv w:val="1"/>
      <w:marLeft w:val="0"/>
      <w:marRight w:val="0"/>
      <w:marTop w:val="0"/>
      <w:marBottom w:val="0"/>
      <w:divBdr>
        <w:top w:val="none" w:sz="0" w:space="0" w:color="auto"/>
        <w:left w:val="none" w:sz="0" w:space="0" w:color="auto"/>
        <w:bottom w:val="none" w:sz="0" w:space="0" w:color="auto"/>
        <w:right w:val="none" w:sz="0" w:space="0" w:color="auto"/>
      </w:divBdr>
    </w:div>
    <w:div w:id="1987077836">
      <w:bodyDiv w:val="1"/>
      <w:marLeft w:val="0"/>
      <w:marRight w:val="0"/>
      <w:marTop w:val="0"/>
      <w:marBottom w:val="0"/>
      <w:divBdr>
        <w:top w:val="none" w:sz="0" w:space="0" w:color="auto"/>
        <w:left w:val="none" w:sz="0" w:space="0" w:color="auto"/>
        <w:bottom w:val="none" w:sz="0" w:space="0" w:color="auto"/>
        <w:right w:val="none" w:sz="0" w:space="0" w:color="auto"/>
      </w:divBdr>
    </w:div>
    <w:div w:id="2050883609">
      <w:bodyDiv w:val="1"/>
      <w:marLeft w:val="0"/>
      <w:marRight w:val="0"/>
      <w:marTop w:val="0"/>
      <w:marBottom w:val="0"/>
      <w:divBdr>
        <w:top w:val="none" w:sz="0" w:space="0" w:color="auto"/>
        <w:left w:val="none" w:sz="0" w:space="0" w:color="auto"/>
        <w:bottom w:val="none" w:sz="0" w:space="0" w:color="auto"/>
        <w:right w:val="none" w:sz="0" w:space="0" w:color="auto"/>
      </w:divBdr>
    </w:div>
    <w:div w:id="2091807090">
      <w:bodyDiv w:val="1"/>
      <w:marLeft w:val="0"/>
      <w:marRight w:val="0"/>
      <w:marTop w:val="0"/>
      <w:marBottom w:val="0"/>
      <w:divBdr>
        <w:top w:val="none" w:sz="0" w:space="0" w:color="auto"/>
        <w:left w:val="none" w:sz="0" w:space="0" w:color="auto"/>
        <w:bottom w:val="none" w:sz="0" w:space="0" w:color="auto"/>
        <w:right w:val="none" w:sz="0" w:space="0" w:color="auto"/>
      </w:divBdr>
    </w:div>
    <w:div w:id="2103909030">
      <w:bodyDiv w:val="1"/>
      <w:marLeft w:val="0"/>
      <w:marRight w:val="0"/>
      <w:marTop w:val="0"/>
      <w:marBottom w:val="0"/>
      <w:divBdr>
        <w:top w:val="none" w:sz="0" w:space="0" w:color="auto"/>
        <w:left w:val="none" w:sz="0" w:space="0" w:color="auto"/>
        <w:bottom w:val="none" w:sz="0" w:space="0" w:color="auto"/>
        <w:right w:val="none" w:sz="0" w:space="0" w:color="auto"/>
      </w:divBdr>
    </w:div>
    <w:div w:id="2135243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coca-colahellenic.com/en/investor-relations" TargetMode="Externa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https://www.coca-colahellenic.com/"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a680b73-dbe3-473e-a9eb-0a92e0d11ac7">
      <Terms xmlns="http://schemas.microsoft.com/office/infopath/2007/PartnerControls"/>
    </lcf76f155ced4ddcb4097134ff3c332f>
    <TaxCatchAll xmlns="d261e17f-036a-43f9-a7c0-1158deb662b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Έγγραφο" ma:contentTypeID="0x010100A88C0419820B1E4B99785C2415DD4AAE" ma:contentTypeVersion="15" ma:contentTypeDescription="Δημιουργία νέου εγγράφου" ma:contentTypeScope="" ma:versionID="ceba799f4ed1267fe8657d8003e20037">
  <xsd:schema xmlns:xsd="http://www.w3.org/2001/XMLSchema" xmlns:xs="http://www.w3.org/2001/XMLSchema" xmlns:p="http://schemas.microsoft.com/office/2006/metadata/properties" xmlns:ns2="ca680b73-dbe3-473e-a9eb-0a92e0d11ac7" xmlns:ns3="d261e17f-036a-43f9-a7c0-1158deb662b2" targetNamespace="http://schemas.microsoft.com/office/2006/metadata/properties" ma:root="true" ma:fieldsID="abea2a9006d69824ea91e138e4cdcf59" ns2:_="" ns3:_="">
    <xsd:import namespace="ca680b73-dbe3-473e-a9eb-0a92e0d11ac7"/>
    <xsd:import namespace="d261e17f-036a-43f9-a7c0-1158deb662b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680b73-dbe3-473e-a9eb-0a92e0d11a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Ετικέτες εικόνας" ma:readOnly="false" ma:fieldId="{5cf76f15-5ced-4ddc-b409-7134ff3c332f}" ma:taxonomyMulti="true" ma:sspId="40143f1f-058a-4da9-9630-d7297ca4c4e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261e17f-036a-43f9-a7c0-1158deb662b2" elementFormDefault="qualified">
    <xsd:import namespace="http://schemas.microsoft.com/office/2006/documentManagement/types"/>
    <xsd:import namespace="http://schemas.microsoft.com/office/infopath/2007/PartnerControls"/>
    <xsd:element name="SharedWithUsers" ma:index="16" nillable="true" ma:displayName="Κοινή χρήση με"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Κοινή χρήση με λεπτομέρειες" ma:internalName="SharedWithDetails" ma:readOnly="true">
      <xsd:simpleType>
        <xsd:restriction base="dms:Note">
          <xsd:maxLength value="255"/>
        </xsd:restriction>
      </xsd:simpleType>
    </xsd:element>
    <xsd:element name="TaxCatchAll" ma:index="21" nillable="true" ma:displayName="Taxonomy Catch All Column" ma:hidden="true" ma:list="{98368d79-ec3c-4e16-8ef2-e832be7aa8e3}" ma:internalName="TaxCatchAll" ma:showField="CatchAllData" ma:web="d261e17f-036a-43f9-a7c0-1158deb662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2E56B7-45D3-43F2-B76A-3EE23FBACF25}">
  <ds:schemaRefs>
    <ds:schemaRef ds:uri="http://schemas.openxmlformats.org/officeDocument/2006/bibliography"/>
  </ds:schemaRefs>
</ds:datastoreItem>
</file>

<file path=customXml/itemProps2.xml><?xml version="1.0" encoding="utf-8"?>
<ds:datastoreItem xmlns:ds="http://schemas.openxmlformats.org/officeDocument/2006/customXml" ds:itemID="{8EE534F1-3FD8-46D4-A4C7-F65E577F8498}">
  <ds:schemaRefs>
    <ds:schemaRef ds:uri="http://schemas.microsoft.com/office/2006/metadata/properties"/>
    <ds:schemaRef ds:uri="http://schemas.microsoft.com/office/infopath/2007/PartnerControls"/>
    <ds:schemaRef ds:uri="ca680b73-dbe3-473e-a9eb-0a92e0d11ac7"/>
    <ds:schemaRef ds:uri="d261e17f-036a-43f9-a7c0-1158deb662b2"/>
  </ds:schemaRefs>
</ds:datastoreItem>
</file>

<file path=customXml/itemProps3.xml><?xml version="1.0" encoding="utf-8"?>
<ds:datastoreItem xmlns:ds="http://schemas.openxmlformats.org/officeDocument/2006/customXml" ds:itemID="{390308A4-2B47-46A1-B5CC-47AF437D80AC}">
  <ds:schemaRefs>
    <ds:schemaRef ds:uri="http://schemas.microsoft.com/sharepoint/v3/contenttype/forms"/>
  </ds:schemaRefs>
</ds:datastoreItem>
</file>

<file path=customXml/itemProps4.xml><?xml version="1.0" encoding="utf-8"?>
<ds:datastoreItem xmlns:ds="http://schemas.openxmlformats.org/officeDocument/2006/customXml" ds:itemID="{484F1F5B-D160-4119-9F32-966CD8A8C2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680b73-dbe3-473e-a9eb-0a92e0d11ac7"/>
    <ds:schemaRef ds:uri="d261e17f-036a-43f9-a7c0-1158deb662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3237</Words>
  <Characters>18453</Characters>
  <Application>Microsoft Office Word</Application>
  <DocSecurity>0</DocSecurity>
  <PresentationFormat>8caf00f7-87fe-4624-a808-28ce82c457d3</PresentationFormat>
  <Lines>153</Lines>
  <Paragraphs>43</Paragraphs>
  <ScaleCrop>false</ScaleCrop>
  <HeadingPairs>
    <vt:vector size="2" baseType="variant">
      <vt:variant>
        <vt:lpstr>Title</vt:lpstr>
      </vt:variant>
      <vt:variant>
        <vt:i4>1</vt:i4>
      </vt:variant>
    </vt:vector>
  </HeadingPairs>
  <TitlesOfParts>
    <vt:vector size="1" baseType="lpstr">
      <vt:lpstr>Αποτελέσματα Α’ εξαμήνου που έληξε 1 Ιουλίου 2005 (ΔΠΧΠ)-draft 8</vt:lpstr>
    </vt:vector>
  </TitlesOfParts>
  <Company>CCHBC-HO</Company>
  <LinksUpToDate>false</LinksUpToDate>
  <CharactersWithSpaces>21647</CharactersWithSpaces>
  <SharedDoc>false</SharedDoc>
  <HLinks>
    <vt:vector size="12" baseType="variant">
      <vt:variant>
        <vt:i4>5242970</vt:i4>
      </vt:variant>
      <vt:variant>
        <vt:i4>3</vt:i4>
      </vt:variant>
      <vt:variant>
        <vt:i4>0</vt:i4>
      </vt:variant>
      <vt:variant>
        <vt:i4>5</vt:i4>
      </vt:variant>
      <vt:variant>
        <vt:lpwstr>https://www.coca-colahellenic.com/en/investor-relations/results-reports-presentations</vt:lpwstr>
      </vt:variant>
      <vt:variant>
        <vt:lpwstr/>
      </vt:variant>
      <vt:variant>
        <vt:i4>3080297</vt:i4>
      </vt:variant>
      <vt:variant>
        <vt:i4>0</vt:i4>
      </vt:variant>
      <vt:variant>
        <vt:i4>0</vt:i4>
      </vt:variant>
      <vt:variant>
        <vt:i4>5</vt:i4>
      </vt:variant>
      <vt:variant>
        <vt:lpwstr>https://www.coca-colahellenic.com/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Αποτελέσματα Α’ εξαμήνου που έληξε 1 Ιουλίου 2005 (ΔΠΧΠ)-draft 8</dc:title>
  <dc:subject/>
  <dc:creator>\</dc:creator>
  <cp:keywords/>
  <cp:lastModifiedBy>IT</cp:lastModifiedBy>
  <cp:revision>2</cp:revision>
  <cp:lastPrinted>2022-05-12T06:16:00Z</cp:lastPrinted>
  <dcterms:created xsi:type="dcterms:W3CDTF">2022-05-12T07:20:00Z</dcterms:created>
  <dcterms:modified xsi:type="dcterms:W3CDTF">2022-05-12T07:20:00Z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881452596</vt:i4>
  </property>
  <property fmtid="{D5CDD505-2E9C-101B-9397-08002B2CF9AE}" pid="3" name="ContentTypeId">
    <vt:lpwstr>0x010100A88C0419820B1E4B99785C2415DD4AAE</vt:lpwstr>
  </property>
  <property fmtid="{D5CDD505-2E9C-101B-9397-08002B2CF9AE}" pid="4" name="_SIProp12DataClass+cc5a530f-41a6-45ea-9bc4-32c4db9fb913">
    <vt:lpwstr>v=1.2&gt;I=cc5a530f-41a6-45ea-9bc4-32c4db9fb913&amp;N=NotProtectedAttachment&amp;V=1.3&amp;U=System&amp;D=System&amp;A=Associated&amp;H=False</vt:lpwstr>
  </property>
  <property fmtid="{D5CDD505-2E9C-101B-9397-08002B2CF9AE}" pid="5" name="IQP_Classification">
    <vt:lpwstr>NotProtectedAttachment</vt:lpwstr>
  </property>
  <property fmtid="{D5CDD505-2E9C-101B-9397-08002B2CF9AE}" pid="6" name="Signature">
    <vt:lpwstr>nJ1NhbQkAHULWIhQNOyrN6EZ9uGm6XqGQGft2BC8UTCw5m+B45uQNSU1yWt0JJ+ER590iqjKzwM617SQdLwZ3A==</vt:lpwstr>
  </property>
  <property fmtid="{D5CDD505-2E9C-101B-9397-08002B2CF9AE}" pid="7" name="synchronize">
    <vt:lpwstr>on</vt:lpwstr>
  </property>
  <property fmtid="{D5CDD505-2E9C-101B-9397-08002B2CF9AE}" pid="8" name="MSIP_Label_dcbcefa9-77bd-43cf-a0ff-5e7ba098b1f9_Enabled">
    <vt:lpwstr>True</vt:lpwstr>
  </property>
  <property fmtid="{D5CDD505-2E9C-101B-9397-08002B2CF9AE}" pid="9" name="MSIP_Label_dcbcefa9-77bd-43cf-a0ff-5e7ba098b1f9_SiteId">
    <vt:lpwstr>d0df3d96-c065-41c3-8c0b-5dcaa460ec33</vt:lpwstr>
  </property>
  <property fmtid="{D5CDD505-2E9C-101B-9397-08002B2CF9AE}" pid="10" name="MSIP_Label_dcbcefa9-77bd-43cf-a0ff-5e7ba098b1f9_Owner">
    <vt:lpwstr>david.watkins@credit-suisse.com</vt:lpwstr>
  </property>
  <property fmtid="{D5CDD505-2E9C-101B-9397-08002B2CF9AE}" pid="11" name="MSIP_Label_dcbcefa9-77bd-43cf-a0ff-5e7ba098b1f9_SetDate">
    <vt:lpwstr>2022-04-29T14:47:31.5929750Z</vt:lpwstr>
  </property>
  <property fmtid="{D5CDD505-2E9C-101B-9397-08002B2CF9AE}" pid="12" name="MSIP_Label_dcbcefa9-77bd-43cf-a0ff-5e7ba098b1f9_Name">
    <vt:lpwstr>Confidential</vt:lpwstr>
  </property>
  <property fmtid="{D5CDD505-2E9C-101B-9397-08002B2CF9AE}" pid="13" name="MSIP_Label_dcbcefa9-77bd-43cf-a0ff-5e7ba098b1f9_Application">
    <vt:lpwstr>Microsoft Azure Information Protection</vt:lpwstr>
  </property>
  <property fmtid="{D5CDD505-2E9C-101B-9397-08002B2CF9AE}" pid="14" name="MSIP_Label_dcbcefa9-77bd-43cf-a0ff-5e7ba098b1f9_ActionId">
    <vt:lpwstr>3138a9c1-9dfe-45c5-b539-32ee6cf36a72</vt:lpwstr>
  </property>
  <property fmtid="{D5CDD505-2E9C-101B-9397-08002B2CF9AE}" pid="15" name="MSIP_Label_dcbcefa9-77bd-43cf-a0ff-5e7ba098b1f9_Extended_MSFT_Method">
    <vt:lpwstr>Manual</vt:lpwstr>
  </property>
  <property fmtid="{D5CDD505-2E9C-101B-9397-08002B2CF9AE}" pid="16" name="MSIP_Label_dd3979fe-e8b4-4460-a1ce-38c18d103215_Enabled">
    <vt:lpwstr>True</vt:lpwstr>
  </property>
  <property fmtid="{D5CDD505-2E9C-101B-9397-08002B2CF9AE}" pid="17" name="MSIP_Label_dd3979fe-e8b4-4460-a1ce-38c18d103215_SiteId">
    <vt:lpwstr>d0df3d96-c065-41c3-8c0b-5dcaa460ec33</vt:lpwstr>
  </property>
  <property fmtid="{D5CDD505-2E9C-101B-9397-08002B2CF9AE}" pid="18" name="MSIP_Label_dd3979fe-e8b4-4460-a1ce-38c18d103215_Owner">
    <vt:lpwstr>david.watkins@credit-suisse.com</vt:lpwstr>
  </property>
  <property fmtid="{D5CDD505-2E9C-101B-9397-08002B2CF9AE}" pid="19" name="MSIP_Label_dd3979fe-e8b4-4460-a1ce-38c18d103215_SetDate">
    <vt:lpwstr>2022-04-29T14:47:31.5929750Z</vt:lpwstr>
  </property>
  <property fmtid="{D5CDD505-2E9C-101B-9397-08002B2CF9AE}" pid="20" name="MSIP_Label_dd3979fe-e8b4-4460-a1ce-38c18d103215_Name">
    <vt:lpwstr>Confidential</vt:lpwstr>
  </property>
  <property fmtid="{D5CDD505-2E9C-101B-9397-08002B2CF9AE}" pid="21" name="MSIP_Label_dd3979fe-e8b4-4460-a1ce-38c18d103215_Application">
    <vt:lpwstr>Microsoft Azure Information Protection</vt:lpwstr>
  </property>
  <property fmtid="{D5CDD505-2E9C-101B-9397-08002B2CF9AE}" pid="22" name="MSIP_Label_dd3979fe-e8b4-4460-a1ce-38c18d103215_ActionId">
    <vt:lpwstr>3138a9c1-9dfe-45c5-b539-32ee6cf36a72</vt:lpwstr>
  </property>
  <property fmtid="{D5CDD505-2E9C-101B-9397-08002B2CF9AE}" pid="23" name="MSIP_Label_dd3979fe-e8b4-4460-a1ce-38c18d103215_Parent">
    <vt:lpwstr>dcbcefa9-77bd-43cf-a0ff-5e7ba098b1f9</vt:lpwstr>
  </property>
  <property fmtid="{D5CDD505-2E9C-101B-9397-08002B2CF9AE}" pid="24" name="MSIP_Label_dd3979fe-e8b4-4460-a1ce-38c18d103215_Extended_MSFT_Method">
    <vt:lpwstr>Manual</vt:lpwstr>
  </property>
  <property fmtid="{D5CDD505-2E9C-101B-9397-08002B2CF9AE}" pid="25" name="Sensitivity">
    <vt:lpwstr>Confidential Confidential</vt:lpwstr>
  </property>
  <property fmtid="{D5CDD505-2E9C-101B-9397-08002B2CF9AE}" pid="26" name="MediaServiceImageTags">
    <vt:lpwstr/>
  </property>
</Properties>
</file>